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Cs/>
          <w:sz w:val="28"/>
          <w:szCs w:val="28"/>
        </w:rPr>
      </w:pPr>
      <w:r>
        <w:rPr>
          <w:rFonts w:cs="Arial" w:ascii="Arial" w:hAnsi="Arial"/>
          <w:b/>
          <w:bCs/>
          <w:sz w:val="28"/>
          <w:szCs w:val="28"/>
        </w:rPr>
      </w:r>
    </w:p>
    <w:p>
      <w:pPr>
        <w:pStyle w:val="Normal"/>
        <w:spacing w:lineRule="auto" w:line="240" w:before="0" w:after="0"/>
        <w:jc w:val="center"/>
        <w:rPr>
          <w:rFonts w:ascii="Arial" w:hAnsi="Arial" w:cs="Arial"/>
          <w:b/>
          <w:bCs/>
          <w:sz w:val="28"/>
          <w:szCs w:val="28"/>
        </w:rPr>
      </w:pPr>
      <w:r>
        <w:rPr>
          <w:rFonts w:cs="Arial" w:ascii="Arial" w:hAnsi="Arial"/>
          <w:b/>
          <w:bCs/>
          <w:sz w:val="28"/>
          <w:szCs w:val="28"/>
        </w:rPr>
      </w:r>
    </w:p>
    <w:p>
      <w:pPr>
        <w:pStyle w:val="Normal"/>
        <w:spacing w:lineRule="auto" w:line="240" w:before="0" w:after="0"/>
        <w:jc w:val="center"/>
        <w:rPr>
          <w:sz w:val="28"/>
        </w:rPr>
      </w:pPr>
      <w:r>
        <w:rPr>
          <w:sz w:val="28"/>
        </w:rPr>
        <w:t xml:space="preserve">        </w:t>
      </w:r>
      <w:r>
        <w:rPr/>
        <w:drawing>
          <wp:inline distT="0" distB="0" distL="0" distR="0">
            <wp:extent cx="1753870" cy="81724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753870" cy="817245"/>
                    </a:xfrm>
                    <a:prstGeom prst="rect">
                      <a:avLst/>
                    </a:prstGeom>
                  </pic:spPr>
                </pic:pic>
              </a:graphicData>
            </a:graphic>
          </wp:inline>
        </w:drawing>
      </w:r>
    </w:p>
    <w:p>
      <w:pPr>
        <w:pStyle w:val="Normal"/>
        <w:spacing w:lineRule="auto" w:line="240" w:before="0" w:after="0"/>
        <w:jc w:val="center"/>
        <w:rPr>
          <w:sz w:val="28"/>
        </w:rPr>
      </w:pPr>
      <w:r>
        <w:rPr>
          <w:rFonts w:eastAsia="Arial" w:cs="Arial" w:ascii="Arial" w:hAnsi="Arial"/>
          <w:b/>
          <w:bCs/>
          <w:kern w:val="2"/>
          <w:sz w:val="28"/>
          <w:szCs w:val="28"/>
          <w:lang w:bidi="en-US"/>
        </w:rPr>
        <w:t>Company_Honor Business Service Ltd,Suite RA01 195 Wood Street London E17 3NU</w:t>
      </w:r>
    </w:p>
    <w:p>
      <w:pPr>
        <w:pStyle w:val="Normal"/>
        <w:spacing w:lineRule="auto" w:line="240" w:before="0" w:after="0"/>
        <w:jc w:val="center"/>
        <w:rPr>
          <w:rFonts w:ascii="Arial" w:hAnsi="Arial" w:cs="Arial"/>
          <w:b/>
          <w:bCs/>
          <w:sz w:val="28"/>
          <w:szCs w:val="28"/>
        </w:rPr>
      </w:pPr>
      <w:r>
        <w:rPr>
          <w:rFonts w:cs="Arial" w:ascii="Arial" w:hAnsi="Arial"/>
          <w:b/>
          <w:bCs/>
          <w:sz w:val="28"/>
          <w:szCs w:val="28"/>
        </w:rPr>
      </w:r>
    </w:p>
    <w:p>
      <w:pPr>
        <w:pStyle w:val="Normal"/>
        <w:spacing w:lineRule="auto" w:line="240" w:before="0" w:after="0"/>
        <w:jc w:val="center"/>
        <w:rPr>
          <w:rFonts w:ascii="Arial" w:hAnsi="Arial" w:cs="Arial"/>
          <w:b/>
          <w:bCs/>
          <w:sz w:val="28"/>
          <w:szCs w:val="28"/>
        </w:rPr>
      </w:pPr>
      <w:r>
        <w:rPr>
          <w:rFonts w:cs="Arial" w:ascii="Arial" w:hAnsi="Arial"/>
          <w:b/>
          <w:bCs/>
          <w:sz w:val="28"/>
          <w:szCs w:val="28"/>
        </w:rPr>
        <w:t>SUSTAINABILITY</w:t>
      </w:r>
    </w:p>
    <w:p>
      <w:pPr>
        <w:pStyle w:val="Normal"/>
        <w:keepNext w:val="true"/>
        <w:keepLines/>
        <w:widowControl w:val="false"/>
        <w:numPr>
          <w:ilvl w:val="0"/>
          <w:numId w:val="0"/>
        </w:numPr>
        <w:suppressAutoHyphens w:val="true"/>
        <w:spacing w:before="0" w:after="120"/>
        <w:ind w:hanging="0" w:left="0"/>
        <w:jc w:val="center"/>
        <w:textAlignment w:val="baseline"/>
        <w:outlineLvl w:val="0"/>
        <w:rPr>
          <w:rFonts w:ascii="Arial" w:hAnsi="Arial" w:eastAsia="Arial" w:cs="Arial"/>
          <w:b/>
          <w:bCs/>
          <w:kern w:val="2"/>
          <w:sz w:val="28"/>
          <w:szCs w:val="28"/>
          <w:lang w:bidi="en-US"/>
        </w:rPr>
      </w:pPr>
      <w:r>
        <w:rPr>
          <w:rFonts w:eastAsia="Arial" w:cs="Arial" w:ascii="Arial" w:hAnsi="Arial"/>
          <w:b/>
          <w:bCs/>
          <w:kern w:val="2"/>
          <w:sz w:val="28"/>
          <w:szCs w:val="28"/>
          <w:lang w:bidi="en-US"/>
        </w:rPr>
      </w:r>
    </w:p>
    <w:p>
      <w:pPr>
        <w:pStyle w:val="WPHeading"/>
        <w:rPr/>
      </w:pPr>
      <w:r>
        <w:rPr/>
        <w:t>Scope</w:t>
      </w:r>
    </w:p>
    <w:p>
      <w:pPr>
        <w:pStyle w:val="WPBullet"/>
        <w:numPr>
          <w:ilvl w:val="0"/>
          <w:numId w:val="3"/>
        </w:numPr>
        <w:rPr>
          <w:b/>
          <w:bCs/>
          <w:lang w:bidi="en-US"/>
        </w:rPr>
      </w:pPr>
      <w:r>
        <w:rPr>
          <w:b/>
          <w:bCs/>
          <w:lang w:bidi="en-US"/>
        </w:rPr>
        <w:t>Policy Statement</w:t>
      </w:r>
    </w:p>
    <w:p>
      <w:pPr>
        <w:pStyle w:val="WPBullet"/>
        <w:numPr>
          <w:ilvl w:val="0"/>
          <w:numId w:val="3"/>
        </w:numPr>
        <w:rPr>
          <w:b/>
          <w:bCs/>
          <w:lang w:bidi="en-US"/>
        </w:rPr>
      </w:pPr>
      <w:r>
        <w:rPr>
          <w:lang w:bidi="en-US"/>
        </w:rPr>
        <w:t>Social Sustainability</w:t>
      </w:r>
    </w:p>
    <w:p>
      <w:pPr>
        <w:pStyle w:val="WPBullet"/>
        <w:numPr>
          <w:ilvl w:val="0"/>
          <w:numId w:val="3"/>
        </w:numPr>
        <w:rPr>
          <w:b/>
          <w:bCs/>
          <w:lang w:bidi="en-US"/>
        </w:rPr>
      </w:pPr>
      <w:r>
        <w:rPr>
          <w:lang w:bidi="en-US"/>
        </w:rPr>
        <w:t>Economic Sustainability</w:t>
      </w:r>
    </w:p>
    <w:p>
      <w:pPr>
        <w:pStyle w:val="WPBullet"/>
        <w:numPr>
          <w:ilvl w:val="0"/>
          <w:numId w:val="3"/>
        </w:numPr>
        <w:rPr>
          <w:b/>
          <w:bCs/>
          <w:lang w:bidi="en-US"/>
        </w:rPr>
      </w:pPr>
      <w:r>
        <w:rPr>
          <w:lang w:bidi="en-US"/>
        </w:rPr>
        <w:t>Environmental Sustainability</w:t>
      </w:r>
    </w:p>
    <w:p>
      <w:pPr>
        <w:pStyle w:val="WPBullet"/>
        <w:numPr>
          <w:ilvl w:val="0"/>
          <w:numId w:val="3"/>
        </w:numPr>
        <w:rPr>
          <w:b/>
          <w:bCs/>
          <w:lang w:bidi="en-US"/>
        </w:rPr>
      </w:pPr>
      <w:r>
        <w:rPr>
          <w:b/>
          <w:bCs/>
          <w:lang w:bidi="en-US"/>
        </w:rPr>
        <w:t>The Policy</w:t>
      </w:r>
    </w:p>
    <w:p>
      <w:pPr>
        <w:pStyle w:val="WPBullet"/>
        <w:numPr>
          <w:ilvl w:val="0"/>
          <w:numId w:val="3"/>
        </w:numPr>
        <w:rPr>
          <w:b/>
          <w:bCs/>
          <w:lang w:bidi="en-US"/>
        </w:rPr>
      </w:pPr>
      <w:r>
        <w:rPr>
          <w:lang w:bidi="en-US"/>
        </w:rPr>
        <w:t>Transport</w:t>
      </w:r>
    </w:p>
    <w:p>
      <w:pPr>
        <w:pStyle w:val="WPBullet"/>
        <w:numPr>
          <w:ilvl w:val="0"/>
          <w:numId w:val="3"/>
        </w:numPr>
        <w:rPr>
          <w:b/>
          <w:bCs/>
          <w:lang w:bidi="en-US"/>
        </w:rPr>
      </w:pPr>
      <w:r>
        <w:rPr>
          <w:lang w:bidi="en-US"/>
        </w:rPr>
        <w:t>Water</w:t>
      </w:r>
    </w:p>
    <w:p>
      <w:pPr>
        <w:pStyle w:val="WPBullet"/>
        <w:numPr>
          <w:ilvl w:val="0"/>
          <w:numId w:val="3"/>
        </w:numPr>
        <w:rPr>
          <w:b/>
          <w:bCs/>
          <w:lang w:bidi="en-US"/>
        </w:rPr>
      </w:pPr>
      <w:r>
        <w:rPr>
          <w:lang w:bidi="en-US"/>
        </w:rPr>
        <w:t>Sustainable Drainage Systems (SuDS)</w:t>
      </w:r>
    </w:p>
    <w:p>
      <w:pPr>
        <w:pStyle w:val="WPBullet"/>
        <w:numPr>
          <w:ilvl w:val="0"/>
          <w:numId w:val="3"/>
        </w:numPr>
        <w:rPr>
          <w:b/>
          <w:bCs/>
          <w:lang w:bidi="en-US"/>
        </w:rPr>
      </w:pPr>
      <w:r>
        <w:rPr>
          <w:lang w:bidi="en-US"/>
        </w:rPr>
        <w:t>Energy</w:t>
      </w:r>
    </w:p>
    <w:p>
      <w:pPr>
        <w:pStyle w:val="WPBullet"/>
        <w:numPr>
          <w:ilvl w:val="0"/>
          <w:numId w:val="3"/>
        </w:numPr>
        <w:rPr>
          <w:b/>
          <w:bCs/>
          <w:lang w:bidi="en-US"/>
        </w:rPr>
      </w:pPr>
      <w:r>
        <w:rPr>
          <w:lang w:bidi="en-US"/>
        </w:rPr>
        <w:t>Renewable Energies</w:t>
      </w:r>
    </w:p>
    <w:p>
      <w:pPr>
        <w:pStyle w:val="WPBullet"/>
        <w:numPr>
          <w:ilvl w:val="0"/>
          <w:numId w:val="3"/>
        </w:numPr>
        <w:rPr>
          <w:b/>
          <w:bCs/>
          <w:lang w:bidi="en-US"/>
        </w:rPr>
      </w:pPr>
      <w:r>
        <w:rPr>
          <w:lang w:bidi="en-US"/>
        </w:rPr>
        <w:t>Waste Management</w:t>
      </w:r>
    </w:p>
    <w:p>
      <w:pPr>
        <w:pStyle w:val="WPBullet"/>
        <w:numPr>
          <w:ilvl w:val="0"/>
          <w:numId w:val="3"/>
        </w:numPr>
        <w:rPr>
          <w:b/>
          <w:bCs/>
          <w:lang w:bidi="en-US"/>
        </w:rPr>
      </w:pPr>
      <w:r>
        <w:rPr>
          <w:lang w:bidi="en-US"/>
        </w:rPr>
        <w:t>Air Quality</w:t>
      </w:r>
    </w:p>
    <w:p>
      <w:pPr>
        <w:pStyle w:val="WPBullet"/>
        <w:numPr>
          <w:ilvl w:val="0"/>
          <w:numId w:val="3"/>
        </w:numPr>
        <w:rPr>
          <w:b/>
          <w:bCs/>
          <w:lang w:bidi="en-US"/>
        </w:rPr>
      </w:pPr>
      <w:r>
        <w:rPr>
          <w:lang w:bidi="en-US"/>
        </w:rPr>
        <w:t>Sustainable Materials</w:t>
      </w:r>
    </w:p>
    <w:p>
      <w:pPr>
        <w:pStyle w:val="WPBullet"/>
        <w:numPr>
          <w:ilvl w:val="0"/>
          <w:numId w:val="3"/>
        </w:numPr>
        <w:rPr>
          <w:b/>
          <w:bCs/>
          <w:lang w:bidi="en-US"/>
        </w:rPr>
      </w:pPr>
      <w:r>
        <w:rPr>
          <w:lang w:bidi="en-US"/>
        </w:rPr>
        <w:t>Adaption Strategies for Front Line Staff</w:t>
      </w:r>
    </w:p>
    <w:p>
      <w:pPr>
        <w:pStyle w:val="WPBullet"/>
        <w:numPr>
          <w:ilvl w:val="0"/>
          <w:numId w:val="3"/>
        </w:numPr>
        <w:rPr>
          <w:b/>
          <w:bCs/>
          <w:lang w:bidi="en-US"/>
        </w:rPr>
      </w:pPr>
      <w:r>
        <w:rPr>
          <w:b/>
          <w:bCs/>
          <w:lang w:bidi="en-US"/>
        </w:rPr>
        <w:t>Related Policies</w:t>
      </w:r>
    </w:p>
    <w:p>
      <w:pPr>
        <w:pStyle w:val="WPBullet"/>
        <w:numPr>
          <w:ilvl w:val="0"/>
          <w:numId w:val="3"/>
        </w:numPr>
        <w:rPr>
          <w:b/>
          <w:bCs/>
          <w:lang w:bidi="en-US"/>
        </w:rPr>
      </w:pPr>
      <w:r>
        <w:rPr>
          <w:b/>
          <w:bCs/>
          <w:lang w:bidi="en-US"/>
        </w:rPr>
        <w:t>Related Guidance</w:t>
      </w:r>
    </w:p>
    <w:p>
      <w:pPr>
        <w:pStyle w:val="WPBullet"/>
        <w:numPr>
          <w:ilvl w:val="0"/>
          <w:numId w:val="3"/>
        </w:numPr>
        <w:rPr>
          <w:b/>
          <w:bCs/>
          <w:lang w:bidi="en-US"/>
        </w:rPr>
      </w:pPr>
      <w:r>
        <w:rPr>
          <w:b/>
          <w:bCs/>
          <w:lang w:bidi="en-US"/>
        </w:rPr>
        <w:t>Training Statement</w:t>
      </w:r>
    </w:p>
    <w:p>
      <w:pPr>
        <w:pStyle w:val="WPBullet"/>
        <w:numPr>
          <w:ilvl w:val="0"/>
          <w:numId w:val="0"/>
        </w:numPr>
        <w:ind w:hanging="0" w:left="0"/>
        <w:rPr>
          <w:b/>
          <w:bCs/>
          <w:lang w:bidi="en-US"/>
        </w:rPr>
      </w:pPr>
      <w:r>
        <w:rPr>
          <w:b/>
          <w:bCs/>
          <w:lang w:bidi="en-US"/>
        </w:rPr>
      </w:r>
    </w:p>
    <w:p>
      <w:pPr>
        <w:pStyle w:val="WPHeading"/>
        <w:rPr>
          <w:color w:themeColor="accent1" w:val="4472C4"/>
        </w:rPr>
      </w:pPr>
      <w:r>
        <w:rPr/>
        <w:t xml:space="preserve">Policy Statement </w:t>
      </w:r>
    </w:p>
    <w:p>
      <w:pPr>
        <w:pStyle w:val="WPParagraph"/>
        <w:rPr/>
      </w:pPr>
      <w:r>
        <w:rPr/>
        <w:t>Sustainability is concerned with protecting the planet, halting climate change, and promoting social development, without endangering life on Earth or leaving anyone behind. This concept seeks to cover present needs without compromising resources for future generations. Sustainability is often broken into three core concepts: economic, environmental, and social.</w:t>
      </w:r>
    </w:p>
    <w:p>
      <w:pPr>
        <w:pStyle w:val="WPHeading2"/>
        <w:rPr/>
      </w:pPr>
      <w:r>
        <w:rPr/>
        <w:t>Social Sustainability</w:t>
      </w:r>
    </w:p>
    <w:p>
      <w:pPr>
        <w:pStyle w:val="WPParagraph"/>
        <w:rPr/>
      </w:pPr>
      <w:r>
        <w:rPr/>
        <w:t>Social sustainability is about identifying and managing business impacts, both positive and negative on people. The quality of a company’s relationships and engagement with its stakeholders is critical. The five principles of social sustainability are:</w:t>
      </w:r>
    </w:p>
    <w:p>
      <w:pPr>
        <w:pStyle w:val="WPBullet"/>
        <w:numPr>
          <w:ilvl w:val="0"/>
          <w:numId w:val="4"/>
        </w:numPr>
        <w:rPr/>
      </w:pPr>
      <w:r>
        <w:rPr/>
        <w:t>Social equity and justice</w:t>
      </w:r>
    </w:p>
    <w:p>
      <w:pPr>
        <w:pStyle w:val="WPBullet"/>
        <w:numPr>
          <w:ilvl w:val="0"/>
          <w:numId w:val="4"/>
        </w:numPr>
        <w:rPr/>
      </w:pPr>
      <w:r>
        <w:rPr/>
        <w:t>Diversity and inclusion</w:t>
      </w:r>
    </w:p>
    <w:p>
      <w:pPr>
        <w:pStyle w:val="WPBullet"/>
        <w:numPr>
          <w:ilvl w:val="0"/>
          <w:numId w:val="4"/>
        </w:numPr>
        <w:rPr/>
      </w:pPr>
      <w:r>
        <w:rPr/>
        <w:t>Democratic participation and empowerment</w:t>
      </w:r>
    </w:p>
    <w:p>
      <w:pPr>
        <w:pStyle w:val="WPBullet"/>
        <w:numPr>
          <w:ilvl w:val="0"/>
          <w:numId w:val="4"/>
        </w:numPr>
        <w:rPr/>
      </w:pPr>
      <w:r>
        <w:rPr/>
        <w:t>Livelihood security</w:t>
      </w:r>
    </w:p>
    <w:p>
      <w:pPr>
        <w:pStyle w:val="WPBullet"/>
        <w:numPr>
          <w:ilvl w:val="0"/>
          <w:numId w:val="4"/>
        </w:numPr>
        <w:rPr/>
      </w:pPr>
      <w:r>
        <w:rPr/>
        <w:t>Social well-being and quality of life</w:t>
      </w:r>
    </w:p>
    <w:p>
      <w:pPr>
        <w:pStyle w:val="WPHeading2"/>
        <w:rPr/>
      </w:pPr>
      <w:r>
        <w:rPr/>
        <w:t>Economic Sustainability</w:t>
      </w:r>
    </w:p>
    <w:p>
      <w:pPr>
        <w:pStyle w:val="WPParagraph"/>
        <w:rPr/>
      </w:pPr>
      <w:r>
        <w:rPr/>
        <w:t>Economic sustainability refers to practices that support long-term economic growth without negatively impacting the social, environmental, and cultural aspects of the community. The main goal of economic sustainability is to create a balance between economic growth and the development of positive change for the environment and humanity.</w:t>
      </w:r>
    </w:p>
    <w:p>
      <w:pPr>
        <w:pStyle w:val="WPHeading2"/>
        <w:rPr/>
      </w:pPr>
      <w:r>
        <w:rPr/>
        <w:t>Environmental Sustainability</w:t>
      </w:r>
    </w:p>
    <w:p>
      <w:pPr>
        <w:pStyle w:val="WPParagraph"/>
        <w:rPr/>
      </w:pPr>
      <w:r>
        <w:rPr/>
        <w:t>Environmental sustainability is the ability to maintain an ecological balance in the planet’s natural environment and conserve natural resources to support the well-being of current and future generations.</w:t>
      </w:r>
    </w:p>
    <w:p>
      <w:pPr>
        <w:pStyle w:val="WPParagraph"/>
        <w:rPr/>
      </w:pPr>
      <w:r>
        <w:rPr/>
        <w:t>Impacts include;</w:t>
      </w:r>
    </w:p>
    <w:p>
      <w:pPr>
        <w:pStyle w:val="WPBullet"/>
        <w:numPr>
          <w:ilvl w:val="0"/>
          <w:numId w:val="1"/>
        </w:numPr>
        <w:rPr/>
      </w:pPr>
      <w:r>
        <w:rPr/>
        <w:t>Greenhouse gas emissions</w:t>
      </w:r>
    </w:p>
    <w:p>
      <w:pPr>
        <w:pStyle w:val="WPBullet"/>
        <w:numPr>
          <w:ilvl w:val="0"/>
          <w:numId w:val="1"/>
        </w:numPr>
        <w:rPr/>
      </w:pPr>
      <w:r>
        <w:rPr/>
        <w:t>Air pollution</w:t>
      </w:r>
    </w:p>
    <w:p>
      <w:pPr>
        <w:pStyle w:val="WPBullet"/>
        <w:numPr>
          <w:ilvl w:val="0"/>
          <w:numId w:val="1"/>
        </w:numPr>
        <w:rPr/>
      </w:pPr>
      <w:r>
        <w:rPr/>
        <w:t>Water pollution (including chemicals and pharmaceuticals)</w:t>
      </w:r>
    </w:p>
    <w:p>
      <w:pPr>
        <w:pStyle w:val="WPBullet"/>
        <w:numPr>
          <w:ilvl w:val="0"/>
          <w:numId w:val="1"/>
        </w:numPr>
        <w:rPr/>
      </w:pPr>
      <w:r>
        <w:rPr/>
        <w:t>Waste production</w:t>
      </w:r>
    </w:p>
    <w:p>
      <w:pPr>
        <w:pStyle w:val="WPHeading"/>
        <w:rPr/>
      </w:pPr>
      <w:r>
        <w:rPr/>
        <w:t>The Policy</w:t>
      </w:r>
    </w:p>
    <w:p>
      <w:pPr>
        <w:pStyle w:val="WPParagraph"/>
        <w:rPr/>
      </w:pPr>
      <w:r>
        <w:rPr/>
        <w:t>In 2011, the government committed to include sustainability in all it does, setting targets to reduce emissions across all departments from this we have a responsibility to promote a sustainable health and care service. Changes are being made to improve the sustainability of services and the Service User's care</w:t>
      </w:r>
      <w:r>
        <w:rPr>
          <w:b/>
          <w:bCs/>
        </w:rPr>
        <w:t xml:space="preserve">. </w:t>
      </w:r>
      <w:r>
        <w:rPr/>
        <w:t>We seek continuous improvement in our efficient use of natural resources, protection of</w:t>
      </w:r>
      <w:r>
        <w:rPr>
          <w:b/>
          <w:bCs/>
        </w:rPr>
        <w:t xml:space="preserve"> </w:t>
      </w:r>
      <w:r>
        <w:rPr/>
        <w:t xml:space="preserve">wildlife and reduction of pollution in all our activities. </w:t>
      </w:r>
    </w:p>
    <w:p>
      <w:pPr>
        <w:pStyle w:val="WPParagraph"/>
        <w:rPr>
          <w:b/>
          <w:bCs/>
        </w:rPr>
      </w:pPr>
      <w:r>
        <w:rPr/>
        <w:t>We have set the following objectives</w:t>
      </w:r>
      <w:r>
        <w:rPr>
          <w:b/>
          <w:bCs/>
        </w:rPr>
        <w:t>;</w:t>
      </w:r>
    </w:p>
    <w:p>
      <w:pPr>
        <w:pStyle w:val="WPBullet"/>
        <w:numPr>
          <w:ilvl w:val="0"/>
          <w:numId w:val="2"/>
        </w:numPr>
        <w:spacing w:lineRule="auto" w:line="240" w:before="0" w:after="0"/>
        <w:contextualSpacing/>
        <w:rPr/>
      </w:pPr>
      <w:r>
        <w:rPr/>
        <w:t>To use energy and water resources efficiently</w:t>
      </w:r>
    </w:p>
    <w:p>
      <w:pPr>
        <w:pStyle w:val="WPBullet"/>
        <w:numPr>
          <w:ilvl w:val="0"/>
          <w:numId w:val="2"/>
        </w:numPr>
        <w:spacing w:lineRule="auto" w:line="240" w:before="0" w:after="0"/>
        <w:contextualSpacing/>
        <w:rPr/>
      </w:pPr>
      <w:r>
        <w:rPr/>
        <w:t xml:space="preserve">To reduce waste to a minimum and to reuse and recycle materials to the maximum </w:t>
      </w:r>
    </w:p>
    <w:p>
      <w:pPr>
        <w:pStyle w:val="WPBullet"/>
        <w:numPr>
          <w:ilvl w:val="0"/>
          <w:numId w:val="2"/>
        </w:numPr>
        <w:spacing w:lineRule="auto" w:line="240" w:before="0" w:after="0"/>
        <w:contextualSpacing/>
        <w:rPr/>
      </w:pPr>
      <w:r>
        <w:rPr/>
        <w:t xml:space="preserve">To avoid and reduce air, land, water, noise and light pollution </w:t>
      </w:r>
    </w:p>
    <w:p>
      <w:pPr>
        <w:pStyle w:val="WPBullet"/>
        <w:numPr>
          <w:ilvl w:val="0"/>
          <w:numId w:val="2"/>
        </w:numPr>
        <w:spacing w:lineRule="auto" w:line="240" w:before="0" w:after="0"/>
        <w:contextualSpacing/>
        <w:rPr/>
      </w:pPr>
      <w:r>
        <w:rPr/>
        <w:t>To protect and enhance wildlife and the natural environment</w:t>
      </w:r>
    </w:p>
    <w:p>
      <w:pPr>
        <w:pStyle w:val="WPBullet"/>
        <w:numPr>
          <w:ilvl w:val="0"/>
          <w:numId w:val="2"/>
        </w:numPr>
        <w:spacing w:lineRule="auto" w:line="240" w:before="0" w:after="0"/>
        <w:contextualSpacing/>
        <w:rPr/>
      </w:pPr>
      <w:r>
        <w:rPr/>
        <w:t>To reduce the impacts of our provision and use of transport</w:t>
      </w:r>
    </w:p>
    <w:p>
      <w:pPr>
        <w:pStyle w:val="WPBullet"/>
        <w:numPr>
          <w:ilvl w:val="0"/>
          <w:numId w:val="2"/>
        </w:numPr>
        <w:spacing w:lineRule="auto" w:line="240" w:before="0" w:after="0"/>
        <w:contextualSpacing/>
        <w:rPr/>
      </w:pPr>
      <w:r>
        <w:rPr/>
        <w:t xml:space="preserve">To avoid and reduce our overall carbon emissions </w:t>
      </w:r>
    </w:p>
    <w:p>
      <w:pPr>
        <w:pStyle w:val="WPBullet"/>
        <w:numPr>
          <w:ilvl w:val="0"/>
          <w:numId w:val="2"/>
        </w:numPr>
        <w:spacing w:lineRule="auto" w:line="240" w:before="0" w:after="0"/>
        <w:contextualSpacing/>
        <w:rPr/>
      </w:pPr>
      <w:r>
        <w:rPr/>
        <w:t>To ensure the best possible environmental practices in the way we buy goods and services and encourage our suppliers to do the same</w:t>
      </w:r>
    </w:p>
    <w:p>
      <w:pPr>
        <w:pStyle w:val="WPBullet"/>
        <w:numPr>
          <w:ilvl w:val="0"/>
          <w:numId w:val="2"/>
        </w:numPr>
        <w:spacing w:lineRule="auto" w:line="240" w:before="0" w:after="0"/>
        <w:contextualSpacing/>
        <w:rPr/>
      </w:pPr>
      <w:r>
        <w:rPr/>
        <w:t>To comply with all relevant environmental legislation now and in the future</w:t>
      </w:r>
    </w:p>
    <w:p>
      <w:pPr>
        <w:pStyle w:val="WPBullet"/>
        <w:numPr>
          <w:ilvl w:val="0"/>
          <w:numId w:val="0"/>
        </w:numPr>
        <w:spacing w:lineRule="auto" w:line="240" w:before="0" w:after="0"/>
        <w:ind w:hanging="0" w:left="0"/>
        <w:contextualSpacing/>
        <w:rPr/>
      </w:pPr>
      <w:r>
        <w:rPr/>
      </w:r>
    </w:p>
    <w:p>
      <w:pPr>
        <w:pStyle w:val="WPParagraph"/>
        <w:rPr/>
      </w:pPr>
      <w:r>
        <w:rPr/>
        <w:t>The healthcare industry is responsible for a lot of waste due to equipment sterilisation and a large carbon footprint because of the energy needed to power such large facilities. First and foremost, we need to understand what our current carbon footprint is, based on the data already available. This will allow the organisation to benchmark and measure success.</w:t>
      </w:r>
    </w:p>
    <w:p>
      <w:pPr>
        <w:pStyle w:val="WPParagraph"/>
        <w:rPr/>
      </w:pPr>
      <w:r>
        <w:rPr/>
        <w:t>This will be considered in three elements: ‘scope 1’ emissions come from sources our organisation owns, ‘scope 2’ emissions from our energy usage, and ‘scope 3’ emissions from sources we do not own or control, which are produced as a consequence of our organisation’s actions. An example of this could be staff behaviour – how they commute, travel for business, or use energy when working remotely.</w:t>
      </w:r>
    </w:p>
    <w:p>
      <w:pPr>
        <w:pStyle w:val="WPParagraph"/>
        <w:rPr/>
      </w:pPr>
      <w:r>
        <w:rPr/>
        <w:t xml:space="preserve">We will use our existing data systems or any platforms that have been put in place by our providers to help understand our carbon footprint. We can also go directly to our providers: for example, suppliers of energy, travel management, and outsourced fleet managers. </w:t>
      </w:r>
    </w:p>
    <w:p>
      <w:pPr>
        <w:pStyle w:val="WPParagraph"/>
        <w:rPr/>
      </w:pPr>
      <w:r>
        <w:rPr/>
        <w:t>Once we have our data, it will be easier to identify where we can have the biggest impact. There will be some stand-out areas where we can make a change more easily and quickly, changing our energy tariff, switching to LED lighting, or moving data to the cloud.</w:t>
      </w:r>
    </w:p>
    <w:p>
      <w:pPr>
        <w:pStyle w:val="WPParagraph"/>
        <w:rPr/>
      </w:pPr>
      <w:r>
        <w:rPr/>
        <w:t>When developing our plan, we will ensure to have engaged all impacted stakeholders, whether they be internal sustainability, estates, planning and operational teams, or our service partners and other independent organisations such as Energy Savings Trust. Most important of all, we will be sure to consider the impact on our staff and Service Users.</w:t>
      </w:r>
    </w:p>
    <w:p>
      <w:pPr>
        <w:pStyle w:val="WPParagraph"/>
        <w:rPr/>
      </w:pPr>
      <w:r>
        <w:rPr/>
        <w:t xml:space="preserve">We will future-proof as much as possible we will look at the sustainability of our building materials, and how our technology will age, with slow planning and implementing changes we will achieve better long-term results. Rushing could cause other issues. It could cause resentment to the changes being made, or for key areas to be missed. </w:t>
      </w:r>
    </w:p>
    <w:p>
      <w:pPr>
        <w:pStyle w:val="WPParagraph"/>
        <w:rPr/>
      </w:pPr>
      <w:r>
        <w:rPr/>
        <w:t>Slow and incremental changes can be more cost-effective in the long term. That is why setting out our plan and engaging with key stakeholders will give us a strong platform to start with.</w:t>
      </w:r>
    </w:p>
    <w:p>
      <w:pPr>
        <w:pStyle w:val="WPParagraph"/>
        <w:rPr/>
      </w:pPr>
      <w:r>
        <w:rPr/>
        <w:t>The organisation will take time to understand the impact our changes have had on our carbon footprint. Carbon net zero is a long journey, so we must make sure to acknowledge the progress made along the way and celebrate successes. Every positive change made is helping to fight climate change. Where possible, we will share any lessons learned or best practices externally, to inform others’ activities.</w:t>
      </w:r>
    </w:p>
    <w:p>
      <w:pPr>
        <w:pStyle w:val="WPHeading2"/>
        <w:rPr/>
      </w:pPr>
      <w:r>
        <w:rPr/>
        <w:t>Transport</w:t>
      </w:r>
    </w:p>
    <w:p>
      <w:pPr>
        <w:pStyle w:val="WPParagraph"/>
        <w:rPr/>
      </w:pPr>
      <w:r>
        <w:rPr/>
        <w:t>We recognise that our use of vehicles, both in business travel and commuter journeys, can have a range of effects on the environment. This includes air pollution (contributing to issues such as acid rain and global warming), as well as the depletion of the earth’s limited natural stocks of fossil fuels. We recognise the positive health benefits of reducing our dependency on vehicles and reducing the pollution they cause.</w:t>
      </w:r>
    </w:p>
    <w:p>
      <w:pPr>
        <w:pStyle w:val="WPParagraph"/>
        <w:rPr/>
      </w:pPr>
      <w:r>
        <w:rPr/>
        <w:t>We have set the following objectives to help reduce the pollution caused by our use of vehicles for work-related travel;</w:t>
      </w:r>
    </w:p>
    <w:p>
      <w:pPr>
        <w:pStyle w:val="WPBullet"/>
        <w:numPr>
          <w:ilvl w:val="0"/>
          <w:numId w:val="1"/>
        </w:numPr>
        <w:rPr/>
      </w:pPr>
      <w:r>
        <w:rPr/>
        <w:t xml:space="preserve">To reduce mileage travelled by staff on business and getting to/from work </w:t>
      </w:r>
    </w:p>
    <w:p>
      <w:pPr>
        <w:pStyle w:val="WPBullet"/>
        <w:numPr>
          <w:ilvl w:val="0"/>
          <w:numId w:val="1"/>
        </w:numPr>
        <w:rPr/>
      </w:pPr>
      <w:r>
        <w:rPr/>
        <w:t xml:space="preserve">To support alternative travel methods to single occupancy car use </w:t>
      </w:r>
    </w:p>
    <w:p>
      <w:pPr>
        <w:pStyle w:val="WPBullet"/>
        <w:numPr>
          <w:ilvl w:val="0"/>
          <w:numId w:val="1"/>
        </w:numPr>
        <w:rPr/>
      </w:pPr>
      <w:r>
        <w:rPr/>
        <w:t xml:space="preserve">To utilise technology to remove the need to travel </w:t>
      </w:r>
    </w:p>
    <w:p>
      <w:pPr>
        <w:pStyle w:val="WPBullet"/>
        <w:numPr>
          <w:ilvl w:val="0"/>
          <w:numId w:val="1"/>
        </w:numPr>
        <w:rPr/>
      </w:pPr>
      <w:r>
        <w:rPr/>
        <w:t>To maximise the use of less polluting technologies and fuels</w:t>
      </w:r>
    </w:p>
    <w:p>
      <w:pPr>
        <w:pStyle w:val="WPBullet"/>
        <w:numPr>
          <w:ilvl w:val="0"/>
          <w:numId w:val="1"/>
        </w:numPr>
        <w:rPr/>
      </w:pPr>
      <w:r>
        <w:rPr/>
        <w:t>To ensure the efficient use of vehicles</w:t>
      </w:r>
    </w:p>
    <w:p>
      <w:pPr>
        <w:pStyle w:val="WPParagraph"/>
        <w:rPr/>
      </w:pPr>
      <w:r>
        <w:rPr/>
        <w:t>To evaluate the successes, we will monitor and report on the annual business mileage travelled by staff (miles per employee) and the percentage of employees using an alternative to single-person car use to commute to work, annual use of fuel on any company vehicle and the proportion of alternative fuels used and the annual amount of carbon dioxide generated as a result of using vehicles for work-related travel.</w:t>
      </w:r>
    </w:p>
    <w:p>
      <w:pPr>
        <w:pStyle w:val="WPParagraph"/>
        <w:rPr/>
      </w:pPr>
      <w:r>
        <w:rPr/>
        <w:t>DEFRA collected data during the national lockdown in 2020 due to the COVID-19 pandemic, this showed a considerable reduction in levels of air pollution. A reduction in travel is likely to have played a major part in this reduction, emphasising the need to reduce healthcare-related travel to improve air quality for those with respiratory disease and the wider community.</w:t>
      </w:r>
    </w:p>
    <w:p>
      <w:pPr>
        <w:pStyle w:val="WPHeading2"/>
        <w:rPr/>
      </w:pPr>
      <w:r>
        <w:rPr/>
        <w:t>Water</w:t>
      </w:r>
    </w:p>
    <w:p>
      <w:pPr>
        <w:pStyle w:val="WPParagraph"/>
        <w:rPr/>
      </w:pPr>
      <w:r>
        <w:rPr/>
        <w:t>We recognise that our use of energy and water results in the release of pollution into the air and the use of finite natural resources. We are concerned about the impact of carbon dioxide (CO2), one of the primary greenhouse gases and a major contributor to climate change. To minimise the environmental impact of our energy and water use, in particular our emissions of Carbon Dioxide (CO2), we will:</w:t>
      </w:r>
    </w:p>
    <w:p>
      <w:pPr>
        <w:pStyle w:val="WPBullet"/>
        <w:numPr>
          <w:ilvl w:val="0"/>
          <w:numId w:val="1"/>
        </w:numPr>
        <w:rPr/>
      </w:pPr>
      <w:r>
        <w:rPr/>
        <w:t xml:space="preserve">Use energy and water efficiently </w:t>
      </w:r>
    </w:p>
    <w:p>
      <w:pPr>
        <w:pStyle w:val="WPBullet"/>
        <w:numPr>
          <w:ilvl w:val="0"/>
          <w:numId w:val="1"/>
        </w:numPr>
        <w:rPr/>
      </w:pPr>
      <w:r>
        <w:rPr/>
        <w:t xml:space="preserve">Minimise the use of energy and water, by investing in energy &amp; water-saving measures </w:t>
      </w:r>
    </w:p>
    <w:p>
      <w:pPr>
        <w:pStyle w:val="WPBullet"/>
        <w:numPr>
          <w:ilvl w:val="0"/>
          <w:numId w:val="1"/>
        </w:numPr>
        <w:rPr/>
      </w:pPr>
      <w:r>
        <w:rPr/>
        <w:t xml:space="preserve">Explore opportunities for the application of renewable energy technologies </w:t>
      </w:r>
    </w:p>
    <w:p>
      <w:pPr>
        <w:pStyle w:val="WPBullet"/>
        <w:numPr>
          <w:ilvl w:val="0"/>
          <w:numId w:val="1"/>
        </w:numPr>
        <w:rPr/>
      </w:pPr>
      <w:r>
        <w:rPr/>
        <w:t>Explore opportunities for the use of green energy in line with our utility procurement strategy</w:t>
      </w:r>
    </w:p>
    <w:p>
      <w:pPr>
        <w:pStyle w:val="WPParagraph"/>
        <w:rPr/>
      </w:pPr>
      <w:r>
        <w:rPr/>
        <w:t>To evaluate the success of this policy, we will monitor and report on the amount of electricity, fuel, and water used annually. To understand the use of water in the service for water conservation is to know how the water-using equipment and processes operate. Identifying those operating inefficiently can determine whether changes are needed and addressing water waste and making changes will only occur once data on the amount of water waste is gathered so the best strategy for making changes can be implemented. The use of equipment such as a flow meter can assist in monitoring where water is going and how much is being used. By analysing the results regularly, it can be determined if it meets the expected trend of water usage and waste.</w:t>
      </w:r>
    </w:p>
    <w:p>
      <w:pPr>
        <w:pStyle w:val="WPHeading2"/>
        <w:rPr/>
      </w:pPr>
      <w:r>
        <w:rPr/>
        <w:t>Sustainable Drainage Systems (SuDS)</w:t>
      </w:r>
    </w:p>
    <w:p>
      <w:pPr>
        <w:pStyle w:val="WPParagraph"/>
        <w:rPr/>
      </w:pPr>
      <w:r>
        <w:rPr/>
        <w:t>SuDS is to become a legal requirement in 2024 due to the Flood and Water Management Act of 2010. This legislation was introduced in response to significant flooding events, such as the widescale floods of 2007, which caused extensive damage to properties and infrastructure.</w:t>
      </w:r>
    </w:p>
    <w:p>
      <w:pPr>
        <w:pStyle w:val="WPParagraph"/>
        <w:rPr/>
      </w:pPr>
      <w:r>
        <w:rPr/>
        <w:t xml:space="preserve">Sustainable Drainage Systems (SuDS) is the approach to managing surface water that takes account of water quantity (flooding), water quality (pollution) biodiversity (wildlife and plants) and amenity. SUDS are environmentally beneficial drainage systems, causing minimal or no long-term detrimental damage. </w:t>
      </w:r>
    </w:p>
    <w:p>
      <w:pPr>
        <w:pStyle w:val="WPParagraph"/>
        <w:rPr/>
      </w:pPr>
      <w:r>
        <w:rPr/>
        <w:t>SuDS are more sustainable than traditional drainage methods because they:</w:t>
      </w:r>
    </w:p>
    <w:p>
      <w:pPr>
        <w:pStyle w:val="WPBullet"/>
        <w:numPr>
          <w:ilvl w:val="0"/>
          <w:numId w:val="1"/>
        </w:numPr>
        <w:rPr/>
      </w:pPr>
      <w:r>
        <w:rPr/>
        <w:t>Manage runoff volumes and flow rates from hard surfaces, reducing the impact of urbanisation on flooding</w:t>
      </w:r>
    </w:p>
    <w:p>
      <w:pPr>
        <w:pStyle w:val="WPBullet"/>
        <w:numPr>
          <w:ilvl w:val="0"/>
          <w:numId w:val="1"/>
        </w:numPr>
        <w:rPr/>
      </w:pPr>
      <w:r>
        <w:rPr/>
        <w:t>Provide opportunities for using runoff where it falls</w:t>
      </w:r>
    </w:p>
    <w:p>
      <w:pPr>
        <w:pStyle w:val="WPBullet"/>
        <w:numPr>
          <w:ilvl w:val="0"/>
          <w:numId w:val="1"/>
        </w:numPr>
        <w:rPr/>
      </w:pPr>
      <w:r>
        <w:rPr/>
        <w:t>Protect or enhance water quality (reducing pollution from runoff)</w:t>
      </w:r>
    </w:p>
    <w:p>
      <w:pPr>
        <w:pStyle w:val="WPBullet"/>
        <w:numPr>
          <w:ilvl w:val="0"/>
          <w:numId w:val="1"/>
        </w:numPr>
        <w:rPr/>
      </w:pPr>
      <w:r>
        <w:rPr/>
        <w:t>Protect natural flow regimes in water courses</w:t>
      </w:r>
    </w:p>
    <w:p>
      <w:pPr>
        <w:pStyle w:val="WPBullet"/>
        <w:numPr>
          <w:ilvl w:val="0"/>
          <w:numId w:val="1"/>
        </w:numPr>
        <w:rPr/>
      </w:pPr>
      <w:r>
        <w:rPr/>
        <w:t>Are sympathetic to the environment and the needs of the local community</w:t>
      </w:r>
    </w:p>
    <w:p>
      <w:pPr>
        <w:pStyle w:val="WPBullet"/>
        <w:numPr>
          <w:ilvl w:val="0"/>
          <w:numId w:val="1"/>
        </w:numPr>
        <w:rPr/>
      </w:pPr>
      <w:r>
        <w:rPr/>
        <w:t>Provide an attractive habitat for wildlife in urban watercourses</w:t>
      </w:r>
    </w:p>
    <w:p>
      <w:pPr>
        <w:pStyle w:val="WPBullet"/>
        <w:numPr>
          <w:ilvl w:val="0"/>
          <w:numId w:val="1"/>
        </w:numPr>
        <w:rPr/>
      </w:pPr>
      <w:r>
        <w:rPr/>
        <w:t>Provide opportunities for evapotranspiration from vegetation and surface water</w:t>
      </w:r>
    </w:p>
    <w:p>
      <w:pPr>
        <w:pStyle w:val="WPBullet"/>
        <w:numPr>
          <w:ilvl w:val="0"/>
          <w:numId w:val="1"/>
        </w:numPr>
        <w:rPr/>
      </w:pPr>
      <w:r>
        <w:rPr/>
        <w:t>Encourage natural groundwater/aquifer recharge (where appropriate)</w:t>
      </w:r>
    </w:p>
    <w:p>
      <w:pPr>
        <w:pStyle w:val="WPBullet"/>
        <w:numPr>
          <w:ilvl w:val="0"/>
          <w:numId w:val="1"/>
        </w:numPr>
        <w:rPr/>
      </w:pPr>
      <w:r>
        <w:rPr/>
        <w:t>Create better places to live, work and play</w:t>
      </w:r>
    </w:p>
    <w:p>
      <w:pPr>
        <w:pStyle w:val="WPParagraph"/>
        <w:rPr/>
      </w:pPr>
      <w:r>
        <w:rPr/>
        <w:t>Sustainable drainage is a concept that includes long-term environmental and social factors in decisions about drainage. It takes account of the quantity and quality of runoff, and the amenity and aesthetic value of surface water in the urban environment. Many existing urban drainage systems can cause problems of flooding, pollution or damage to the environment and are not proving to be sustainable in the context of wider challenges from climate change and urbanisation. Incorporating a sustainable drainage system, we will consider:</w:t>
      </w:r>
    </w:p>
    <w:p>
      <w:pPr>
        <w:pStyle w:val="WPBullet"/>
        <w:numPr>
          <w:ilvl w:val="0"/>
          <w:numId w:val="1"/>
        </w:numPr>
        <w:rPr/>
      </w:pPr>
      <w:r>
        <w:rPr/>
        <w:t>Permeable paving</w:t>
      </w:r>
    </w:p>
    <w:p>
      <w:pPr>
        <w:pStyle w:val="WPBullet"/>
        <w:numPr>
          <w:ilvl w:val="0"/>
          <w:numId w:val="1"/>
        </w:numPr>
        <w:rPr/>
      </w:pPr>
      <w:r>
        <w:rPr/>
        <w:t>Water butts</w:t>
      </w:r>
    </w:p>
    <w:p>
      <w:pPr>
        <w:pStyle w:val="WPBullet"/>
        <w:numPr>
          <w:ilvl w:val="0"/>
          <w:numId w:val="1"/>
        </w:numPr>
        <w:rPr/>
      </w:pPr>
      <w:r>
        <w:rPr/>
        <w:t>Rain planters</w:t>
      </w:r>
    </w:p>
    <w:p>
      <w:pPr>
        <w:pStyle w:val="WPBullet"/>
        <w:numPr>
          <w:ilvl w:val="0"/>
          <w:numId w:val="1"/>
        </w:numPr>
        <w:rPr/>
      </w:pPr>
      <w:r>
        <w:rPr/>
        <w:t>Green roofs</w:t>
      </w:r>
    </w:p>
    <w:p>
      <w:pPr>
        <w:pStyle w:val="WPBullet"/>
        <w:numPr>
          <w:ilvl w:val="0"/>
          <w:numId w:val="1"/>
        </w:numPr>
        <w:rPr/>
      </w:pPr>
      <w:r>
        <w:rPr/>
        <w:t>(Safe) Ponds</w:t>
      </w:r>
    </w:p>
    <w:p>
      <w:pPr>
        <w:pStyle w:val="WPBullet"/>
        <w:numPr>
          <w:ilvl w:val="0"/>
          <w:numId w:val="1"/>
        </w:numPr>
        <w:rPr/>
      </w:pPr>
      <w:r>
        <w:rPr/>
        <w:t>Rain gardens</w:t>
      </w:r>
    </w:p>
    <w:p>
      <w:pPr>
        <w:pStyle w:val="WPHeading2"/>
        <w:rPr/>
      </w:pPr>
      <w:r>
        <w:rPr/>
        <w:t>Energy</w:t>
      </w:r>
    </w:p>
    <w:p>
      <w:pPr>
        <w:pStyle w:val="WPParagraph"/>
        <w:rPr/>
      </w:pPr>
      <w:r>
        <w:rPr/>
        <w:t>Improving energy efficiency, by reducing the amount of energy that we need, forms a crucial part of the British Energy Security Strategy. The British Energy Security Strategy is part of an overall movement to greater energy security, building on the commitments set out in the Prime Minister’s 10 Point Plan, the Energy White Paper, the Heat and Buildings Strategy and the Net Zero Strategy.</w:t>
      </w:r>
    </w:p>
    <w:p>
      <w:pPr>
        <w:pStyle w:val="WPParagraph"/>
        <w:rPr/>
      </w:pPr>
      <w:r>
        <w:rPr/>
        <w:t>Reductions in emissions will help to mitigate the health harms of climate change. Energy efficiency innovations can include:</w:t>
      </w:r>
    </w:p>
    <w:p>
      <w:pPr>
        <w:pStyle w:val="WPBullet"/>
        <w:numPr>
          <w:ilvl w:val="0"/>
          <w:numId w:val="1"/>
        </w:numPr>
        <w:rPr/>
      </w:pPr>
      <w:r>
        <w:rPr/>
        <w:t>LED lighting, also creates a more comfortable and controllable healthcare environment</w:t>
      </w:r>
    </w:p>
    <w:p>
      <w:pPr>
        <w:pStyle w:val="WPBullet"/>
        <w:numPr>
          <w:ilvl w:val="0"/>
          <w:numId w:val="1"/>
        </w:numPr>
        <w:rPr/>
      </w:pPr>
      <w:r>
        <w:rPr>
          <w:spacing w:val="2"/>
          <w:shd w:fill="FFFFFF" w:val="clear"/>
        </w:rPr>
        <w:t>A modern central heating system will be far more efficient and affordable</w:t>
      </w:r>
    </w:p>
    <w:p>
      <w:pPr>
        <w:pStyle w:val="WPBullet"/>
        <w:numPr>
          <w:ilvl w:val="0"/>
          <w:numId w:val="1"/>
        </w:numPr>
        <w:rPr/>
      </w:pPr>
      <w:r>
        <w:rPr/>
        <w:t>Reducing the thermostat temperature to the lowest comfortable setting</w:t>
      </w:r>
    </w:p>
    <w:p>
      <w:pPr>
        <w:pStyle w:val="WPBullet"/>
        <w:numPr>
          <w:ilvl w:val="0"/>
          <w:numId w:val="1"/>
        </w:numPr>
        <w:rPr/>
      </w:pPr>
      <w:r>
        <w:rPr/>
        <w:t>All heating appliances are effectively maintained, and faulty equipment is replaced with newer more energy-efficient</w:t>
      </w:r>
    </w:p>
    <w:p>
      <w:pPr>
        <w:pStyle w:val="WPBullet"/>
        <w:numPr>
          <w:ilvl w:val="0"/>
          <w:numId w:val="1"/>
        </w:numPr>
        <w:rPr/>
      </w:pPr>
      <w:r>
        <w:rPr/>
        <w:t>Investing in cavity, wall, floor and/or roof insulation</w:t>
      </w:r>
    </w:p>
    <w:p>
      <w:pPr>
        <w:pStyle w:val="WPBullet"/>
        <w:numPr>
          <w:ilvl w:val="0"/>
          <w:numId w:val="1"/>
        </w:numPr>
        <w:rPr>
          <w:spacing w:val="2"/>
        </w:rPr>
      </w:pPr>
      <w:r>
        <w:rPr>
          <w:spacing w:val="2"/>
        </w:rPr>
        <w:t>Investing in double glazing and keeping windows and doors closed as much as possible to stop warm air from escaping and cold air from getting in</w:t>
      </w:r>
    </w:p>
    <w:p>
      <w:pPr>
        <w:pStyle w:val="WPBullet"/>
        <w:numPr>
          <w:ilvl w:val="0"/>
          <w:numId w:val="1"/>
        </w:numPr>
        <w:rPr>
          <w:spacing w:val="2"/>
        </w:rPr>
      </w:pPr>
      <w:r>
        <w:rPr>
          <w:spacing w:val="2"/>
        </w:rPr>
        <w:t>Ensure that any current insulation that's installed is maintained regularly and professionally</w:t>
      </w:r>
    </w:p>
    <w:p>
      <w:pPr>
        <w:pStyle w:val="WPBullet"/>
        <w:numPr>
          <w:ilvl w:val="0"/>
          <w:numId w:val="1"/>
        </w:numPr>
        <w:rPr>
          <w:spacing w:val="2"/>
        </w:rPr>
      </w:pPr>
      <w:r>
        <w:rPr>
          <w:spacing w:val="2"/>
        </w:rPr>
        <w:t>Motion sensors detect when the room is empty and automatically switch the lights off. The lights will also turn on automatically when a Service User enters the room, making it easier for them to move around</w:t>
      </w:r>
    </w:p>
    <w:p>
      <w:pPr>
        <w:pStyle w:val="WPBullet"/>
        <w:numPr>
          <w:ilvl w:val="0"/>
          <w:numId w:val="1"/>
        </w:numPr>
        <w:rPr>
          <w:spacing w:val="2"/>
        </w:rPr>
      </w:pPr>
      <w:r>
        <w:rPr>
          <w:spacing w:val="2"/>
        </w:rPr>
        <w:t>Equipping the service with energy-efficient appliances. Choosing products that have higher energy label ratings will lower costs the most</w:t>
      </w:r>
    </w:p>
    <w:p>
      <w:pPr>
        <w:pStyle w:val="WPBullet"/>
        <w:numPr>
          <w:ilvl w:val="0"/>
          <w:numId w:val="1"/>
        </w:numPr>
        <w:rPr>
          <w:spacing w:val="2"/>
        </w:rPr>
      </w:pPr>
      <w:r>
        <w:rPr>
          <w:spacing w:val="2"/>
        </w:rPr>
        <w:t>Switch off standby appliances e.g., television, microwave</w:t>
      </w:r>
    </w:p>
    <w:p>
      <w:pPr>
        <w:pStyle w:val="WPParagraph"/>
        <w:rPr/>
      </w:pPr>
      <w:r>
        <w:rPr/>
        <w:t>We incorporate technologies available to cut the emissions derived from our operations and products in line with the organisation's commitment to fight climate change and renewable energies will play a part.</w:t>
      </w:r>
    </w:p>
    <w:p>
      <w:pPr>
        <w:pStyle w:val="WPHeading2"/>
        <w:rPr/>
      </w:pPr>
      <w:r>
        <w:rPr/>
        <w:t>Renewable Energies</w:t>
      </w:r>
    </w:p>
    <w:p>
      <w:pPr>
        <w:pStyle w:val="WPParagraph"/>
        <w:rPr/>
      </w:pPr>
      <w:r>
        <w:rPr/>
        <w:t xml:space="preserve">Renewable energies help reduce greenhouse gas emissions, therefore, aiding in caring for the environment and curbing global warming. As they come from renewable energy sources, they adapt to natural cycles and never run out, which helps develop an efficient and sustainable energy system. They are generated from natural phenomena which helps reduce foreign energy dependence and boosts the economic development of the region. </w:t>
      </w:r>
    </w:p>
    <w:p>
      <w:pPr>
        <w:pStyle w:val="WPParagraph"/>
        <w:rPr/>
      </w:pPr>
      <w:r>
        <w:rPr/>
        <w:t>There are different ways of producing and consuming energy that help reduce Carbon Dioxide (CO2)  emissions.</w:t>
      </w:r>
    </w:p>
    <w:p>
      <w:pPr>
        <w:pStyle w:val="WPBullet"/>
        <w:numPr>
          <w:ilvl w:val="0"/>
          <w:numId w:val="1"/>
        </w:numPr>
        <w:rPr/>
      </w:pPr>
      <w:r>
        <w:rPr/>
        <w:t>Solar energy (photovoltaic and thermal)</w:t>
      </w:r>
    </w:p>
    <w:p>
      <w:pPr>
        <w:pStyle w:val="WPBullet"/>
        <w:numPr>
          <w:ilvl w:val="0"/>
          <w:numId w:val="1"/>
        </w:numPr>
        <w:rPr/>
      </w:pPr>
      <w:r>
        <w:rPr/>
        <w:t>Wind energy (onshore and offshore)</w:t>
      </w:r>
    </w:p>
    <w:p>
      <w:pPr>
        <w:pStyle w:val="WPBullet"/>
        <w:numPr>
          <w:ilvl w:val="0"/>
          <w:numId w:val="1"/>
        </w:numPr>
        <w:rPr/>
      </w:pPr>
      <w:r>
        <w:rPr/>
        <w:t>Hydropower (conventional, run-of-the-river, pumped-storage)</w:t>
      </w:r>
    </w:p>
    <w:p>
      <w:pPr>
        <w:pStyle w:val="WPBullet"/>
        <w:numPr>
          <w:ilvl w:val="0"/>
          <w:numId w:val="1"/>
        </w:numPr>
        <w:rPr/>
      </w:pPr>
      <w:r>
        <w:rPr/>
        <w:t>Geothermal energy (hot springs, geysers, volcanoes)</w:t>
      </w:r>
    </w:p>
    <w:p>
      <w:pPr>
        <w:pStyle w:val="WPBullet"/>
        <w:numPr>
          <w:ilvl w:val="0"/>
          <w:numId w:val="1"/>
        </w:numPr>
        <w:rPr/>
      </w:pPr>
      <w:r>
        <w:rPr/>
        <w:t>Biomass energy (biogas, biofuels)</w:t>
      </w:r>
    </w:p>
    <w:p>
      <w:pPr>
        <w:pStyle w:val="WPBullet"/>
        <w:numPr>
          <w:ilvl w:val="0"/>
          <w:numId w:val="1"/>
        </w:numPr>
        <w:rPr/>
      </w:pPr>
      <w:r>
        <w:rPr/>
        <w:t>Marine energy (tidal energy, wave energy)</w:t>
      </w:r>
    </w:p>
    <w:p>
      <w:pPr>
        <w:pStyle w:val="WPHeading2"/>
        <w:rPr/>
      </w:pPr>
      <w:r>
        <w:rPr/>
        <w:t>Waste Management</w:t>
      </w:r>
    </w:p>
    <w:p>
      <w:pPr>
        <w:pStyle w:val="WPParagraph"/>
        <w:rPr/>
      </w:pPr>
      <w:r>
        <w:rPr/>
        <w:t xml:space="preserve">We recognise that our day-to-day activities generate a wide range of waste materials and that the way we manage this waste can have significant impacts on the environment. We are concerned about the overall amount of waste produced and disposed of in landfills and how much of this could have been reduced, reused, or recycled. </w:t>
      </w:r>
    </w:p>
    <w:p>
      <w:pPr>
        <w:pStyle w:val="WPParagraph"/>
        <w:rPr/>
      </w:pPr>
      <w:r>
        <w:rPr/>
        <w:t>Therefore, we have set the following objectives:</w:t>
      </w:r>
    </w:p>
    <w:p>
      <w:pPr>
        <w:pStyle w:val="WPBullet"/>
        <w:numPr>
          <w:ilvl w:val="0"/>
          <w:numId w:val="1"/>
        </w:numPr>
        <w:rPr/>
      </w:pPr>
      <w:r>
        <w:rPr/>
        <w:t xml:space="preserve">To decrease the amount of waste produced </w:t>
      </w:r>
    </w:p>
    <w:p>
      <w:pPr>
        <w:pStyle w:val="WPBullet"/>
        <w:numPr>
          <w:ilvl w:val="0"/>
          <w:numId w:val="1"/>
        </w:numPr>
        <w:rPr/>
      </w:pPr>
      <w:r>
        <w:rPr/>
        <w:t>To increase the amount of waste re-used</w:t>
      </w:r>
    </w:p>
    <w:p>
      <w:pPr>
        <w:pStyle w:val="WPBullet"/>
        <w:numPr>
          <w:ilvl w:val="0"/>
          <w:numId w:val="1"/>
        </w:numPr>
        <w:rPr/>
      </w:pPr>
      <w:r>
        <w:rPr/>
        <w:t xml:space="preserve">To increase the proportion of waste materials recycled </w:t>
      </w:r>
    </w:p>
    <w:p>
      <w:pPr>
        <w:pStyle w:val="WPBullet"/>
        <w:numPr>
          <w:ilvl w:val="0"/>
          <w:numId w:val="1"/>
        </w:numPr>
        <w:rPr/>
      </w:pPr>
      <w:r>
        <w:rPr/>
        <w:t>To ensure we understand and meet all relevant environmental legislation</w:t>
      </w:r>
    </w:p>
    <w:p>
      <w:pPr>
        <w:pStyle w:val="WPParagraph"/>
        <w:rPr/>
      </w:pPr>
      <w:r>
        <w:rPr/>
        <w:t>To evaluate the success of this policy, we will monitor:</w:t>
      </w:r>
    </w:p>
    <w:p>
      <w:pPr>
        <w:pStyle w:val="WPBullet"/>
        <w:numPr>
          <w:ilvl w:val="0"/>
          <w:numId w:val="1"/>
        </w:numPr>
        <w:rPr/>
      </w:pPr>
      <w:r>
        <w:rPr/>
        <w:t>The overall amount of waste generated from this service</w:t>
      </w:r>
    </w:p>
    <w:p>
      <w:pPr>
        <w:pStyle w:val="WPBullet"/>
        <w:numPr>
          <w:ilvl w:val="0"/>
          <w:numId w:val="1"/>
        </w:numPr>
        <w:rPr/>
      </w:pPr>
      <w:r>
        <w:rPr/>
        <w:t>The amount of waste disposed of in landfills from this service</w:t>
      </w:r>
    </w:p>
    <w:p>
      <w:pPr>
        <w:pStyle w:val="WPBullet"/>
        <w:numPr>
          <w:ilvl w:val="0"/>
          <w:numId w:val="1"/>
        </w:numPr>
        <w:rPr/>
      </w:pPr>
      <w:r>
        <w:rPr/>
        <w:t>The percentage of waste that is recycled from this service</w:t>
      </w:r>
    </w:p>
    <w:p>
      <w:pPr>
        <w:pStyle w:val="WPBullet"/>
        <w:numPr>
          <w:ilvl w:val="0"/>
          <w:numId w:val="1"/>
        </w:numPr>
        <w:rPr/>
      </w:pPr>
      <w:r>
        <w:rPr/>
        <w:t>Individual targets for specialist waste types, to include lighting, oils, batteries, pharmaceutical and hazardous waste and green waste</w:t>
      </w:r>
    </w:p>
    <w:p>
      <w:pPr>
        <w:pStyle w:val="WPParagraph"/>
        <w:rPr/>
      </w:pPr>
      <w:r>
        <w:rPr/>
        <w:t>To achieve all these objectives, we will produce an action plan to show the actions being taken to achieve the objectives and implement the policy and plans as actively as we can to remain consistent with effective management. Staff will need to be aware of their roles in implementing these changes and we will ensure all are made aware of successes.</w:t>
      </w:r>
    </w:p>
    <w:p>
      <w:pPr>
        <w:pStyle w:val="WPHeading2"/>
        <w:rPr/>
      </w:pPr>
      <w:r>
        <w:rPr/>
        <w:t>Air Quality</w:t>
      </w:r>
    </w:p>
    <w:p>
      <w:pPr>
        <w:pStyle w:val="WPParagraph"/>
        <w:rPr>
          <w:b/>
          <w:bCs/>
        </w:rPr>
      </w:pPr>
      <w:r>
        <w:rPr/>
        <w:t xml:space="preserve">Good building management is fundamental to maintaining indoor air quality. Our service is well ventilated and has an efficient well-maintained heating system. Windows can be safely opened for ventilation, and we take into consideration vehicle-related pollution and operate a ‘no-idling’ rule in the car park, especially for parking spaces close to the building. </w:t>
      </w:r>
      <w:bookmarkStart w:id="0" w:name="SustainabilityUserInput1"/>
      <w:bookmarkEnd w:id="0"/>
    </w:p>
    <w:p>
      <w:pPr>
        <w:pStyle w:val="WPParagraph"/>
        <w:rPr/>
      </w:pPr>
      <w:r>
        <w:rPr/>
        <w:t>The air conditioning systems are regularly maintained and used appropriately to avoid clogging of filters or a build-up of areas where bacteria might proliferate. The choice of materials for our building and furnishings used can influence air quality, surfaces and furnishings should be easy to clean and designed to minimise the accumulation of dust particles. Cleaning materials used can have a detrimental impact on indoor air quality as well as the wider environmental impact and cleaning materials that are environmentally safe and contain minimal fumes and volatile organic compounds are used where possible.</w:t>
      </w:r>
    </w:p>
    <w:p>
      <w:pPr>
        <w:pStyle w:val="WPParagraph"/>
        <w:rPr/>
      </w:pPr>
      <w:r>
        <w:rPr/>
        <w:t>When outdoor air quality is poor we follow the NICE Guidance issued in February 2019 on Quality Standard outdoor air quality and health for England and Wales (QS181), that anyone with respiratory issues:</w:t>
      </w:r>
    </w:p>
    <w:p>
      <w:pPr>
        <w:pStyle w:val="WPBullet"/>
        <w:numPr>
          <w:ilvl w:val="0"/>
          <w:numId w:val="1"/>
        </w:numPr>
        <w:rPr/>
      </w:pPr>
      <w:r>
        <w:rPr/>
        <w:t xml:space="preserve">Avoiding or reducing strenuous activity outside, especially in highly polluted locations such as busy streets, and particularly if experiencing symptoms such as sore eyes, a cough or sore throat </w:t>
      </w:r>
    </w:p>
    <w:p>
      <w:pPr>
        <w:pStyle w:val="WPBullet"/>
        <w:numPr>
          <w:ilvl w:val="0"/>
          <w:numId w:val="1"/>
        </w:numPr>
        <w:rPr/>
      </w:pPr>
      <w:r>
        <w:rPr/>
        <w:t xml:space="preserve">Using an asthma reliever inhaler more often, as needed </w:t>
      </w:r>
    </w:p>
    <w:p>
      <w:pPr>
        <w:pStyle w:val="WPBullet"/>
        <w:numPr>
          <w:ilvl w:val="0"/>
          <w:numId w:val="1"/>
        </w:numPr>
        <w:rPr/>
      </w:pPr>
      <w:r>
        <w:rPr/>
        <w:t>Closing external doors and windows facing a busy street at times when traffic is heavy or congested to minimise the amount of polluted air coming into the building</w:t>
      </w:r>
    </w:p>
    <w:p>
      <w:pPr>
        <w:pStyle w:val="WPBullet"/>
        <w:numPr>
          <w:ilvl w:val="0"/>
          <w:numId w:val="1"/>
        </w:numPr>
        <w:rPr/>
      </w:pPr>
      <w:r>
        <w:rPr/>
        <w:t>Being aware of expected outdoor air quality in the days ahead so that time outside the building can be planned or minimised</w:t>
      </w:r>
    </w:p>
    <w:p>
      <w:pPr>
        <w:pStyle w:val="WPHeading2"/>
        <w:rPr/>
      </w:pPr>
      <w:r>
        <w:rPr/>
        <w:t>Sustainable Materials</w:t>
      </w:r>
    </w:p>
    <w:p>
      <w:pPr>
        <w:pStyle w:val="WPParagraph"/>
        <w:rPr/>
      </w:pPr>
      <w:r>
        <w:rPr/>
        <w:t>Sustainable materials management is the process of managing resources in a way that promotes environmental and economic sustainability. This includes reducing waste, recycling, and reusing materials, and choosing environmentally friendly materials whenever possible. Sustainable materials management is essential for this service, as it can help save money and protect the environment.</w:t>
      </w:r>
    </w:p>
    <w:p>
      <w:pPr>
        <w:pStyle w:val="WPParagraph"/>
        <w:rPr/>
      </w:pPr>
      <w:r>
        <w:rPr/>
        <w:t>Some common examples of sustainable green materials include bamboo, wood, wool, linen, hemp, clay, straw, stone, and sand. Several innovative materials are being developed, such as recycled plastic lumber, recycled paper, organic cotton, and beeswax wraps. When considering what materials are classed as sustainable it is important to consider:</w:t>
      </w:r>
    </w:p>
    <w:p>
      <w:pPr>
        <w:pStyle w:val="WPParagraph"/>
        <w:rPr/>
      </w:pPr>
      <w:r>
        <w:rPr>
          <w:b/>
          <w:bCs/>
        </w:rPr>
        <w:t>The source</w:t>
      </w:r>
      <w:r>
        <w:rPr/>
        <w:t xml:space="preserve"> - is it renewable or sustainable</w:t>
      </w:r>
    </w:p>
    <w:p>
      <w:pPr>
        <w:pStyle w:val="WPParagraph"/>
        <w:rPr/>
      </w:pPr>
      <w:r>
        <w:rPr>
          <w:b/>
          <w:bCs/>
        </w:rPr>
        <w:t>The impact</w:t>
      </w:r>
      <w:r>
        <w:rPr/>
        <w:t xml:space="preserve"> - consider the environmental impact of producing and using the material</w:t>
      </w:r>
    </w:p>
    <w:p>
      <w:pPr>
        <w:pStyle w:val="WPParagraph"/>
        <w:rPr/>
      </w:pPr>
      <w:r>
        <w:rPr>
          <w:b/>
          <w:bCs/>
        </w:rPr>
        <w:t>The durability</w:t>
      </w:r>
      <w:r>
        <w:rPr/>
        <w:t xml:space="preserve"> - consider the durability of the material. Durable material will last longer and require less replacement over time, making it more sustainable.</w:t>
      </w:r>
    </w:p>
    <w:p>
      <w:pPr>
        <w:pStyle w:val="WPParagraph"/>
        <w:rPr/>
      </w:pPr>
      <w:r>
        <w:rPr>
          <w:b/>
          <w:bCs/>
        </w:rPr>
        <w:t>The life cycle assessment</w:t>
      </w:r>
      <w:r>
        <w:rPr/>
        <w:t xml:space="preserve"> - consider the life cycle of the material. A life cycle assessment looks at all the environmental impacts of material from start to end</w:t>
      </w:r>
    </w:p>
    <w:p>
      <w:pPr>
        <w:pStyle w:val="WPParagraph"/>
        <w:rPr/>
      </w:pPr>
      <w:r>
        <w:rPr>
          <w:b/>
          <w:bCs/>
        </w:rPr>
        <w:t>The usage</w:t>
      </w:r>
      <w:r>
        <w:rPr/>
        <w:t xml:space="preserve"> - Is it reusable or recyclable? Is it biodegradable</w:t>
      </w:r>
    </w:p>
    <w:p>
      <w:pPr>
        <w:pStyle w:val="WPParagraph"/>
        <w:rPr>
          <w:shd w:fill="FFFFFF" w:val="clear"/>
        </w:rPr>
      </w:pPr>
      <w:r>
        <w:rPr>
          <w:shd w:fill="FFFFFF" w:val="clear"/>
        </w:rPr>
        <w:t>Sustainable materials management tools are techniques and practices that help the service operate more sustainably. This can include anything from reducing waste and energy consumption to improving supply chain management and employee engagement. By using sustainable materials management tools, we can improve our bottom line while also benefitting the environment and society.</w:t>
      </w:r>
    </w:p>
    <w:p>
      <w:pPr>
        <w:pStyle w:val="WPHeading2"/>
        <w:rPr/>
      </w:pPr>
      <w:r>
        <w:rPr/>
        <w:t>Adaptation Strategies for Front-line Staff</w:t>
      </w:r>
    </w:p>
    <w:p>
      <w:pPr>
        <w:pStyle w:val="WPParagraph"/>
        <w:rPr/>
      </w:pPr>
      <w:r>
        <w:rPr/>
        <w:t>There is a clear and immediate need for the health and care sector to reduce its carbon emissions to net zero, and to adapt to the impacts of climate change that can’t be avoided, building resilience into the system as it protects and promotes the health of populations now and in the future. The successful implementation of adaptation actions requires a health workforce trained to respond to new challenges.</w:t>
      </w:r>
    </w:p>
    <w:p>
      <w:pPr>
        <w:pStyle w:val="WPParagraph"/>
        <w:rPr/>
      </w:pPr>
      <w:r>
        <w:rPr/>
        <w:t>Climate change is a threat to the significant progress made in health and social care to date, impacting the sector’s ability to deliver services and manage population health. Actions must be taken to build the health and care sector’s climate resilience, so it can effectively respond to climate change impacts while maintaining core functions and identifying lessons learned to reorganise if required.</w:t>
      </w:r>
    </w:p>
    <w:p>
      <w:pPr>
        <w:pStyle w:val="WPParagraph"/>
        <w:rPr/>
      </w:pPr>
      <w:r>
        <w:rPr/>
        <w:t xml:space="preserve">Identifying Service Users and Service User groups within our care who are at risk of climate impacts e.g., air pollution spikes, cold weather, and hot weather is crucial as the frail and elderly, young children, pregnant persons, and those with pre-existing co-morbidities are most vulnerable. Staff need to understand the specific risks for the Service Users they look after. </w:t>
      </w:r>
    </w:p>
    <w:p>
      <w:pPr>
        <w:pStyle w:val="WPParagraph"/>
        <w:rPr/>
      </w:pPr>
      <w:r>
        <w:rPr/>
      </w:r>
    </w:p>
    <w:p>
      <w:pPr>
        <w:pStyle w:val="WPParagraph"/>
        <w:rPr/>
      </w:pPr>
      <w:r>
        <w:rPr/>
        <w:t xml:space="preserve">We will therefore provide information for: </w:t>
      </w:r>
    </w:p>
    <w:p>
      <w:pPr>
        <w:pStyle w:val="WPBullet"/>
        <w:numPr>
          <w:ilvl w:val="0"/>
          <w:numId w:val="1"/>
        </w:numPr>
        <w:rPr/>
      </w:pPr>
      <w:r>
        <w:rPr/>
        <w:t>Service Users and staff about protecting their health against climate change impacts</w:t>
      </w:r>
    </w:p>
    <w:p>
      <w:pPr>
        <w:pStyle w:val="WPBullet"/>
        <w:numPr>
          <w:ilvl w:val="0"/>
          <w:numId w:val="1"/>
        </w:numPr>
        <w:rPr/>
      </w:pPr>
      <w:r>
        <w:rPr/>
        <w:t>Avoiding strenuous outdoor exercises on poor air quality days for those with chronic respiratory conditions or other vulnerabilities</w:t>
      </w:r>
    </w:p>
    <w:p>
      <w:pPr>
        <w:pStyle w:val="WPBullet"/>
        <w:numPr>
          <w:ilvl w:val="0"/>
          <w:numId w:val="1"/>
        </w:numPr>
        <w:rPr/>
      </w:pPr>
      <w:r>
        <w:rPr/>
        <w:t>Keeping cool in hot weather</w:t>
      </w:r>
    </w:p>
    <w:p>
      <w:pPr>
        <w:pStyle w:val="WPBullet"/>
        <w:numPr>
          <w:ilvl w:val="0"/>
          <w:numId w:val="1"/>
        </w:numPr>
        <w:rPr/>
      </w:pPr>
      <w:r>
        <w:rPr/>
        <w:t>Keeping well in cold weather, and keeping your home warm</w:t>
      </w:r>
    </w:p>
    <w:p>
      <w:pPr>
        <w:pStyle w:val="WPBullet"/>
        <w:numPr>
          <w:ilvl w:val="0"/>
          <w:numId w:val="1"/>
        </w:numPr>
        <w:rPr/>
      </w:pPr>
      <w:r>
        <w:rPr/>
        <w:t>Working with colleagues across departments to learn more about building capacity within care pathways to deal with disruption to services</w:t>
      </w:r>
    </w:p>
    <w:p>
      <w:pPr>
        <w:pStyle w:val="WPBullet"/>
        <w:numPr>
          <w:ilvl w:val="0"/>
          <w:numId w:val="1"/>
        </w:numPr>
        <w:rPr/>
      </w:pPr>
      <w:r>
        <w:rPr/>
        <w:t>Being alert to the mental health impacts of climate change, including eco-distress depression/anxiety/PTSD related to flooding, etc</w:t>
      </w:r>
    </w:p>
    <w:p>
      <w:pPr>
        <w:pStyle w:val="Normal"/>
        <w:spacing w:lineRule="auto" w:line="240" w:before="0" w:after="0"/>
        <w:rPr>
          <w:rFonts w:ascii="Arial" w:hAnsi="Arial" w:cs="Arial"/>
          <w:sz w:val="24"/>
          <w:szCs w:val="24"/>
        </w:rPr>
      </w:pPr>
      <w:r>
        <w:rPr>
          <w:rFonts w:cs="Arial" w:ascii="Arial" w:hAnsi="Arial"/>
          <w:sz w:val="24"/>
          <w:szCs w:val="24"/>
        </w:rPr>
      </w:r>
    </w:p>
    <w:p>
      <w:pPr>
        <w:pStyle w:val="WPParagraph"/>
        <w:rPr/>
      </w:pPr>
      <w:r>
        <w:rPr/>
        <w:t>Good quality, timely, and meaningful surveillance data allows efforts to increase system resilience to be targeted and effective. Health information, integrated surveillance and early warning systems are core components of a climate-resilient health system, and the Strategic Health Asset Planning and Evaluation (SHAPE) tool supports strategic planning for all healthcare services.</w:t>
      </w:r>
    </w:p>
    <w:p>
      <w:pPr>
        <w:pStyle w:val="WPParagraph"/>
        <w:rPr/>
      </w:pPr>
      <w:r>
        <w:rPr/>
        <w:t>Being able to adapt to climate change refers to actions which minimise the “potential impacts of climate change, and to reduce, with the least cost, the adverse effects on health. This means reducing the vulnerabilities of human and natural systems to the actual or expected impacts of climate change by creating a resilient system. Adaptation measures are particularly crucial for social and health care, given the worst impacts of climate change are expected to disproportionately affect those with the least ability to respond. As health and care professionals we must be involved in recognising, preparing for, and managing the health risks posed by climate change to protect population health. The Climate Change Act of 2008 places a requirement on the UK government to undertake 5-yearly climate change risk assessments and to put forward a UK National Adaptation Plan. The health and care sector has a responsibility to identify and act on its climate adaptation needs and has highlighted heatwaves, flooding and cold weather as particular hazards to both service disruption and increased morbidity and mortality.</w:t>
      </w:r>
    </w:p>
    <w:p>
      <w:pPr>
        <w:pStyle w:val="Normal"/>
        <w:spacing w:lineRule="auto" w:line="240" w:before="0" w:after="0"/>
        <w:rPr>
          <w:rFonts w:ascii="Arial" w:hAnsi="Arial" w:cs="Arial"/>
          <w:sz w:val="24"/>
          <w:szCs w:val="24"/>
        </w:rPr>
      </w:pPr>
      <w:r>
        <w:rPr>
          <w:rFonts w:cs="Arial" w:ascii="Arial" w:hAnsi="Arial"/>
          <w:sz w:val="24"/>
          <w:szCs w:val="24"/>
        </w:rPr>
      </w:r>
    </w:p>
    <w:p>
      <w:pPr>
        <w:pStyle w:val="WPHeading"/>
        <w:rPr/>
      </w:pPr>
      <w:r>
        <w:rPr/>
        <w:t>Related Policies</w:t>
      </w:r>
    </w:p>
    <w:p>
      <w:pPr>
        <w:pStyle w:val="WPParagraph"/>
        <w:rPr/>
      </w:pPr>
      <w:r>
        <w:rPr/>
        <w:t>Business Contingency and Emergency Planning</w:t>
      </w:r>
    </w:p>
    <w:p>
      <w:pPr>
        <w:pStyle w:val="WPParagraph"/>
        <w:rPr/>
      </w:pPr>
      <w:r>
        <w:rPr/>
        <w:t>Corporate Social Responsibility</w:t>
      </w:r>
    </w:p>
    <w:p>
      <w:pPr>
        <w:pStyle w:val="WPParagraph"/>
        <w:rPr/>
      </w:pPr>
      <w:r>
        <w:rPr/>
        <w:t>Environmental and Waste Management</w:t>
      </w:r>
    </w:p>
    <w:p>
      <w:pPr>
        <w:pStyle w:val="WPParagraph"/>
        <w:rPr/>
      </w:pPr>
      <w:r>
        <w:rPr/>
        <w:t>Heatwave</w:t>
      </w:r>
    </w:p>
    <w:p>
      <w:pPr>
        <w:pStyle w:val="WPParagraph"/>
        <w:rPr/>
      </w:pPr>
      <w:r>
        <w:rPr/>
        <w:t>Premises Environment and Resources</w:t>
      </w:r>
    </w:p>
    <w:p>
      <w:pPr>
        <w:pStyle w:val="WPParagraph"/>
        <w:rPr/>
      </w:pPr>
      <w:r>
        <w:rPr/>
        <w:t>Record Keeping</w:t>
      </w:r>
    </w:p>
    <w:p>
      <w:pPr>
        <w:pStyle w:val="WPParagraph"/>
        <w:rPr/>
      </w:pPr>
      <w:r>
        <w:rPr/>
        <w:t>Staff Retention Well-being – Mental Health in the Workplace</w:t>
      </w:r>
    </w:p>
    <w:p>
      <w:pPr>
        <w:pStyle w:val="WPParagraph"/>
        <w:rPr/>
      </w:pPr>
      <w:r>
        <w:rPr/>
        <w:t>Vehicle Car Scheme</w:t>
      </w:r>
    </w:p>
    <w:p>
      <w:pPr>
        <w:pStyle w:val="Normal"/>
        <w:spacing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b/>
          <w:bCs/>
          <w:color w:themeColor="accent1" w:val="4472C4"/>
          <w:sz w:val="24"/>
          <w:szCs w:val="24"/>
        </w:rPr>
      </w:pPr>
      <w:r>
        <w:rPr>
          <w:rFonts w:cs="Arial" w:ascii="Arial" w:hAnsi="Arial"/>
          <w:b/>
          <w:bCs/>
          <w:color w:themeColor="accent1" w:val="4472C4"/>
          <w:sz w:val="24"/>
          <w:szCs w:val="24"/>
        </w:rPr>
        <w:t>Related Guidance</w:t>
      </w:r>
    </w:p>
    <w:p>
      <w:pPr>
        <w:pStyle w:val="Normal"/>
        <w:spacing w:lineRule="auto" w:line="240" w:before="0" w:after="0"/>
        <w:rPr>
          <w:rFonts w:ascii="Arial" w:hAnsi="Arial" w:cs="Arial"/>
          <w:sz w:val="24"/>
          <w:szCs w:val="24"/>
        </w:rPr>
      </w:pPr>
      <w:r>
        <w:rPr>
          <w:rFonts w:cs="Arial" w:ascii="Arial" w:hAnsi="Arial"/>
          <w:sz w:val="24"/>
          <w:szCs w:val="24"/>
        </w:rPr>
        <w:t>NICE: Sustainability</w:t>
      </w:r>
    </w:p>
    <w:p>
      <w:pPr>
        <w:pStyle w:val="Normal"/>
        <w:spacing w:lineRule="auto" w:line="240" w:before="0" w:after="0"/>
        <w:rPr>
          <w:rStyle w:val="Hyperlink"/>
          <w:rFonts w:ascii="Arial" w:hAnsi="Arial" w:cs="Arial"/>
          <w:sz w:val="24"/>
          <w:szCs w:val="24"/>
        </w:rPr>
      </w:pPr>
      <w:hyperlink r:id="rId3">
        <w:r>
          <w:rPr>
            <w:rStyle w:val="Hyperlink"/>
            <w:rFonts w:cs="Arial" w:ascii="Arial" w:hAnsi="Arial"/>
            <w:sz w:val="24"/>
            <w:szCs w:val="24"/>
          </w:rPr>
          <w:t>https://www.nice.org.uk/about/who-we-are/sustainability</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 xml:space="preserve">GOV.UK: Greening Government Commitments </w:t>
      </w:r>
    </w:p>
    <w:p>
      <w:pPr>
        <w:pStyle w:val="Normal"/>
        <w:spacing w:lineRule="auto" w:line="240" w:before="0" w:after="0"/>
        <w:rPr>
          <w:rFonts w:ascii="Arial" w:hAnsi="Arial" w:cs="Arial"/>
          <w:sz w:val="24"/>
          <w:szCs w:val="24"/>
        </w:rPr>
      </w:pPr>
      <w:hyperlink r:id="rId4">
        <w:r>
          <w:rPr>
            <w:rStyle w:val="Hyperlink"/>
            <w:rFonts w:cs="Arial" w:ascii="Arial" w:hAnsi="Arial"/>
            <w:sz w:val="24"/>
            <w:szCs w:val="24"/>
          </w:rPr>
          <w:t>https://www.gov.uk/government/collections/greening-government-commitments</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Style w:val="Hyperlink"/>
          <w:rFonts w:ascii="Arial" w:hAnsi="Arial" w:cs="Arial"/>
          <w:sz w:val="24"/>
          <w:szCs w:val="24"/>
        </w:rPr>
      </w:pPr>
      <w:r>
        <w:rPr>
          <w:rFonts w:cs="Arial" w:ascii="Arial" w:hAnsi="Arial"/>
          <w:sz w:val="24"/>
          <w:szCs w:val="24"/>
        </w:rPr>
        <w:t xml:space="preserve">GOV.UK: Public Sector Decarbonisation Scheme </w:t>
      </w:r>
      <w:hyperlink r:id="rId5">
        <w:r>
          <w:rPr>
            <w:rStyle w:val="Hyperlink"/>
            <w:rFonts w:cs="Arial" w:ascii="Arial" w:hAnsi="Arial"/>
            <w:sz w:val="24"/>
            <w:szCs w:val="24"/>
          </w:rPr>
          <w:t>https://www.gov.uk/government/collections/public-sector-decarbonisation-scheme</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World Health Organisation: Operational framework for building climate resilient health system</w:t>
      </w:r>
    </w:p>
    <w:p>
      <w:pPr>
        <w:pStyle w:val="Normal"/>
        <w:spacing w:lineRule="auto" w:line="240" w:before="0" w:after="0"/>
        <w:rPr>
          <w:rStyle w:val="Hyperlink"/>
          <w:rFonts w:ascii="Arial" w:hAnsi="Arial" w:cs="Arial"/>
          <w:sz w:val="24"/>
          <w:szCs w:val="24"/>
        </w:rPr>
      </w:pPr>
      <w:hyperlink r:id="rId6">
        <w:r>
          <w:rPr>
            <w:rStyle w:val="Hyperlink"/>
            <w:rFonts w:cs="Arial" w:ascii="Arial" w:hAnsi="Arial"/>
            <w:sz w:val="24"/>
            <w:szCs w:val="24"/>
          </w:rPr>
          <w:t>https://www.who.int/publications/i/item/operational-framework-for-building-climate-resilient-health-systems</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Style w:val="Hyperlink"/>
          <w:rFonts w:ascii="Arial" w:hAnsi="Arial" w:cs="Arial"/>
          <w:sz w:val="24"/>
          <w:szCs w:val="24"/>
        </w:rPr>
      </w:pPr>
      <w:r>
        <w:rPr>
          <w:rFonts w:cs="Arial" w:ascii="Arial" w:hAnsi="Arial"/>
          <w:sz w:val="24"/>
          <w:szCs w:val="24"/>
        </w:rPr>
        <w:t xml:space="preserve">UK Health Security Agency: Third Health and Care Adaptation Report </w:t>
      </w:r>
      <w:hyperlink r:id="rId7">
        <w:r>
          <w:rPr>
            <w:rStyle w:val="Hyperlink"/>
            <w:rFonts w:cs="Arial" w:ascii="Arial" w:hAnsi="Arial"/>
            <w:sz w:val="24"/>
            <w:szCs w:val="24"/>
          </w:rPr>
          <w:t>https://www.england.nhs.uk/wp-content/uploads/2021/12/NHS-third-health-and-care-adaptation-report-2021.pdf</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GOV.UK: Understanding climate adaptation and the third National Adaptation Programme (NAP3)</w:t>
      </w:r>
    </w:p>
    <w:p>
      <w:pPr>
        <w:pStyle w:val="Normal"/>
        <w:spacing w:lineRule="auto" w:line="240" w:before="0" w:after="0"/>
        <w:rPr>
          <w:rStyle w:val="Hyperlink"/>
          <w:rFonts w:ascii="Arial" w:hAnsi="Arial" w:cs="Arial"/>
          <w:sz w:val="24"/>
          <w:szCs w:val="24"/>
        </w:rPr>
      </w:pPr>
      <w:hyperlink r:id="rId8">
        <w:r>
          <w:rPr>
            <w:rStyle w:val="Hyperlink"/>
            <w:rFonts w:cs="Arial" w:ascii="Arial" w:hAnsi="Arial"/>
            <w:sz w:val="24"/>
            <w:szCs w:val="24"/>
          </w:rPr>
          <w:t>https://www.gov.uk/government/publications/third-national-adaptation-programme-nap3/understanding-climate-adaptation-and-the-third-national-adaptation-programme-nap3</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Style w:val="Hyperlink"/>
          <w:rFonts w:ascii="Arial" w:hAnsi="Arial" w:cs="Arial"/>
          <w:sz w:val="24"/>
          <w:szCs w:val="24"/>
        </w:rPr>
      </w:pPr>
      <w:r>
        <w:rPr>
          <w:rStyle w:val="Hyperlink"/>
          <w:rFonts w:cs="Arial" w:ascii="Arial" w:hAnsi="Arial"/>
          <w:color w:val="auto"/>
          <w:sz w:val="24"/>
          <w:szCs w:val="24"/>
          <w:u w:val="none"/>
        </w:rPr>
        <w:t xml:space="preserve">GOV.UK: Department of Environment, Food and Rural Affairs </w:t>
      </w:r>
      <w:hyperlink r:id="rId9">
        <w:r>
          <w:rPr>
            <w:rStyle w:val="Hyperlink"/>
            <w:rFonts w:cs="Arial" w:ascii="Arial" w:hAnsi="Arial"/>
            <w:sz w:val="24"/>
            <w:szCs w:val="24"/>
          </w:rPr>
          <w:t>https://www.gov.uk/government/organisations/department-for-environment-food-rural-affairs</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NICE: Air pollution: outdoor air quality and health</w:t>
      </w:r>
      <w:r>
        <w:rPr>
          <w:rFonts w:cs="Arial" w:ascii="Arial" w:hAnsi="Arial"/>
          <w:b/>
          <w:bCs/>
          <w:sz w:val="24"/>
          <w:szCs w:val="24"/>
        </w:rPr>
        <w:t xml:space="preserve"> </w:t>
      </w:r>
      <w:r>
        <w:rPr>
          <w:rFonts w:cs="Arial" w:ascii="Arial" w:hAnsi="Arial"/>
          <w:sz w:val="24"/>
          <w:szCs w:val="24"/>
        </w:rPr>
        <w:t>Quality standard [QS181]</w:t>
      </w:r>
    </w:p>
    <w:p>
      <w:pPr>
        <w:pStyle w:val="Normal"/>
        <w:spacing w:lineRule="auto" w:line="240" w:before="0" w:after="0"/>
        <w:rPr>
          <w:rStyle w:val="Hyperlink"/>
          <w:rFonts w:ascii="Arial" w:hAnsi="Arial" w:cs="Arial"/>
          <w:sz w:val="24"/>
          <w:szCs w:val="24"/>
        </w:rPr>
      </w:pPr>
      <w:hyperlink r:id="rId10">
        <w:r>
          <w:rPr>
            <w:rStyle w:val="Hyperlink"/>
            <w:rFonts w:cs="Arial" w:ascii="Arial" w:hAnsi="Arial"/>
            <w:sz w:val="24"/>
            <w:szCs w:val="24"/>
          </w:rPr>
          <w:t>https://www.nice.org.uk/guidance/QS181</w:t>
        </w:r>
      </w:hyperlink>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t>NHS SHAPE Tool</w:t>
      </w:r>
    </w:p>
    <w:p>
      <w:pPr>
        <w:pStyle w:val="Normal"/>
        <w:spacing w:lineRule="auto" w:line="240" w:before="0" w:after="0"/>
        <w:rPr>
          <w:rFonts w:ascii="Arial" w:hAnsi="Arial" w:cs="Arial"/>
          <w:sz w:val="24"/>
          <w:szCs w:val="24"/>
        </w:rPr>
      </w:pPr>
      <w:hyperlink r:id="rId11">
        <w:r>
          <w:rPr>
            <w:rStyle w:val="Hyperlink"/>
            <w:rFonts w:cs="Arial" w:ascii="Arial" w:hAnsi="Arial"/>
            <w:sz w:val="24"/>
            <w:szCs w:val="24"/>
          </w:rPr>
          <w:t>https://climatejust.org.uk/resources/shape-tool</w:t>
        </w:r>
      </w:hyperlink>
      <w:r>
        <w:rPr>
          <w:rFonts w:cs="Arial" w:ascii="Arial" w:hAnsi="Arial"/>
          <w:sz w:val="24"/>
          <w:szCs w:val="24"/>
        </w:rPr>
        <w:t xml:space="preserve"> </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Style w:val="Hyperlink"/>
          <w:rFonts w:ascii="Arial" w:hAnsi="Arial" w:cs="Arial"/>
          <w:sz w:val="24"/>
          <w:szCs w:val="24"/>
        </w:rPr>
      </w:pPr>
      <w:r>
        <w:rPr>
          <w:rFonts w:cs="Arial" w:ascii="Arial" w:hAnsi="Arial"/>
          <w:sz w:val="24"/>
          <w:szCs w:val="24"/>
        </w:rPr>
        <w:t>Legislation.GOV.UK</w:t>
      </w:r>
      <w:r>
        <w:rPr>
          <w:rFonts w:cs="Arial" w:ascii="Arial" w:hAnsi="Arial"/>
          <w:b/>
          <w:bCs/>
          <w:sz w:val="24"/>
          <w:szCs w:val="24"/>
        </w:rPr>
        <w:t xml:space="preserve">: </w:t>
      </w:r>
      <w:r>
        <w:rPr>
          <w:rFonts w:cs="Arial" w:ascii="Arial" w:hAnsi="Arial"/>
          <w:sz w:val="24"/>
          <w:szCs w:val="24"/>
        </w:rPr>
        <w:t xml:space="preserve">Flood and Water Management Act 2010 </w:t>
      </w:r>
      <w:hyperlink r:id="rId12">
        <w:r>
          <w:rPr>
            <w:rStyle w:val="Hyperlink"/>
            <w:rFonts w:cs="Arial" w:ascii="Arial" w:hAnsi="Arial"/>
            <w:sz w:val="24"/>
            <w:szCs w:val="24"/>
          </w:rPr>
          <w:t>https://www.legislation.gov.uk/ukpga/2010/29/contents</w:t>
        </w:r>
      </w:hyperlink>
    </w:p>
    <w:p>
      <w:pPr>
        <w:pStyle w:val="Normal"/>
        <w:spacing w:lineRule="auto" w:line="240" w:before="0" w:after="0"/>
        <w:rPr>
          <w:rFonts w:ascii="Arial" w:hAnsi="Arial" w:cs="Arial"/>
          <w:b/>
          <w:bCs/>
          <w:color w:themeColor="accent1" w:val="4472C4"/>
          <w:sz w:val="24"/>
          <w:szCs w:val="24"/>
        </w:rPr>
      </w:pPr>
      <w:r>
        <w:rPr>
          <w:rFonts w:cs="Arial" w:ascii="Arial" w:hAnsi="Arial"/>
          <w:b/>
          <w:bCs/>
          <w:color w:themeColor="accent1" w:val="4472C4"/>
          <w:sz w:val="24"/>
          <w:szCs w:val="24"/>
        </w:rPr>
      </w:r>
    </w:p>
    <w:p>
      <w:pPr>
        <w:pStyle w:val="WPHeading"/>
        <w:spacing w:lineRule="auto" w:line="240" w:before="0" w:after="0"/>
        <w:rPr>
          <w:b w:val="false"/>
          <w:bCs w:val="false"/>
          <w:color w:val="auto"/>
        </w:rPr>
      </w:pPr>
      <w:r>
        <w:rPr>
          <w:b w:val="false"/>
          <w:bCs w:val="false"/>
          <w:color w:val="auto"/>
        </w:rPr>
        <w:t xml:space="preserve">GOV.UK : Energy efficiency: what you need to know </w:t>
      </w:r>
      <w:hyperlink r:id="rId13">
        <w:r>
          <w:rPr>
            <w:rStyle w:val="Hyperlink"/>
            <w:b w:val="false"/>
            <w:bCs w:val="false"/>
          </w:rPr>
          <w:t>https://www.gov.uk/government/news/energy-efficiency-what-you-need-to-know</w:t>
        </w:r>
      </w:hyperlink>
    </w:p>
    <w:p>
      <w:pPr>
        <w:pStyle w:val="WPHeading"/>
        <w:spacing w:before="0" w:after="120"/>
        <w:rPr>
          <w:b w:val="false"/>
          <w:bCs w:val="false"/>
          <w:color w:val="auto"/>
        </w:rPr>
      </w:pPr>
      <w:r>
        <w:rPr>
          <w:b w:val="false"/>
          <w:bCs w:val="false"/>
          <w:color w:themeColor="accent1" w:themeShade="bf" w:val="auto"/>
        </w:rPr>
      </w:r>
    </w:p>
    <w:p>
      <w:pPr>
        <w:pStyle w:val="WPHeading"/>
        <w:rPr/>
      </w:pPr>
      <w:r>
        <w:rPr/>
        <w:t xml:space="preserve">Training Statement </w:t>
      </w:r>
    </w:p>
    <w:p>
      <w:pPr>
        <w:pStyle w:val="WPBullet"/>
        <w:numPr>
          <w:ilvl w:val="0"/>
          <w:numId w:val="0"/>
        </w:numPr>
        <w:ind w:hanging="0" w:left="0"/>
        <w:rPr/>
      </w:pPr>
      <w:r>
        <w:rPr/>
        <w:t>All staff, during induction, are made aware of the organisation's policies and procedures, all of which are used for training updates. All policies and procedures are reviewed and amended where necessary and staff are made aware of any changes. Observations are undertaken to check skills and competencies. Various methods of training are used including one-to-one, online, workbook, group meetings, individual supervisions and external courses are sourced as required.</w:t>
      </w:r>
    </w:p>
    <w:p>
      <w:pPr>
        <w:pStyle w:val="WPBullet"/>
        <w:numPr>
          <w:ilvl w:val="0"/>
          <w:numId w:val="0"/>
        </w:numPr>
        <w:ind w:hanging="0" w:left="0"/>
        <w:rPr/>
      </w:pPr>
      <w:r>
        <w:rPr/>
      </w:r>
    </w:p>
    <w:p>
      <w:pPr>
        <w:pStyle w:val="WPBullet"/>
        <w:numPr>
          <w:ilvl w:val="0"/>
          <w:numId w:val="0"/>
        </w:numPr>
        <w:ind w:hanging="0" w:left="0"/>
        <w:rPr>
          <w:b/>
          <w:bCs/>
          <w:lang w:bidi="en-US"/>
        </w:rPr>
      </w:pPr>
      <w:r>
        <w:rPr>
          <w:b/>
          <w:bCs/>
          <w:lang w:bidi="en-US"/>
        </w:rPr>
      </w:r>
    </w:p>
    <w:p>
      <w:pPr>
        <w:pStyle w:val="WPParagraph"/>
        <w:rPr/>
      </w:pPr>
      <w:r>
        <w:rPr/>
        <w:t>Date Reviewed: March 2026</w:t>
      </w:r>
    </w:p>
    <w:p>
      <w:pPr>
        <w:pStyle w:val="WPParagraph"/>
        <w:rPr/>
      </w:pPr>
      <w:r>
        <w:rPr/>
        <w:t xml:space="preserve">Person responsible for updating this policy: </w:t>
      </w:r>
      <w:r>
        <w:rPr>
          <w:b/>
          <w:bCs/>
        </w:rPr>
        <w:t>Esther Nwagu</w:t>
      </w:r>
    </w:p>
    <w:p>
      <w:pPr>
        <w:pStyle w:val="WPParagraph"/>
        <w:rPr/>
      </w:pPr>
      <w:r>
        <w:rPr/>
        <w:t>Date Reviewed: March 2027</w:t>
      </w:r>
    </w:p>
    <w:p>
      <w:pPr>
        <w:pStyle w:val="Normal"/>
        <w:keepNext w:val="true"/>
        <w:keepLines/>
        <w:widowControl w:val="false"/>
        <w:numPr>
          <w:ilvl w:val="0"/>
          <w:numId w:val="0"/>
        </w:numPr>
        <w:suppressAutoHyphens w:val="true"/>
        <w:spacing w:before="0" w:after="120"/>
        <w:ind w:hanging="0" w:left="0"/>
        <w:textAlignment w:val="baseline"/>
        <w:outlineLvl w:val="0"/>
        <w:rPr>
          <w:rFonts w:ascii="Arial" w:hAnsi="Arial" w:eastAsia="Arial" w:cs="Arial"/>
          <w:b/>
          <w:bCs/>
          <w:kern w:val="2"/>
          <w:sz w:val="28"/>
          <w:szCs w:val="28"/>
          <w:lang w:bidi="en-US"/>
        </w:rPr>
      </w:pPr>
      <w:r>
        <w:rPr>
          <w:rFonts w:eastAsia="Arial" w:cs="Arial" w:ascii="Arial" w:hAnsi="Arial"/>
          <w:b/>
          <w:bCs/>
          <w:kern w:val="2"/>
          <w:sz w:val="28"/>
          <w:szCs w:val="28"/>
          <w:lang w:bidi="en-US"/>
        </w:rPr>
      </w:r>
    </w:p>
    <w:p>
      <w:pPr>
        <w:pStyle w:val="Normal"/>
        <w:spacing w:before="0" w:after="200"/>
        <w:jc w:val="center"/>
        <w:rPr/>
      </w:pPr>
      <w:r>
        <w:rPr/>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Arial">
    <w:charset w:val="01"/>
    <w:family w:val="swiss"/>
    <w:pitch w:val="variable"/>
  </w:font>
  <w:font w:name="Courier New">
    <w:charset w:val="01"/>
    <w:family w:val="modern"/>
    <w:pitch w:val="fixed"/>
  </w:font>
  <w:font w:name="Wingdings">
    <w:charset w:val="01"/>
    <w:family w:val="auto"/>
    <w:pitch w:val="variable"/>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tagtronicscloud.co.uk/homecare/exports/HONOR/202604282193445~35.h</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tagtronicscloud.co.uk/homecare/exports/HONOR/202604282193445~35.h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tagtronicscloud.co.uk/homecare/exports/HONOR/202604282193445~35.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tagtronicscloud.co.uk/homecare/exports/HONOR/202604282193445~35.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035b"/>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14:ligatures w14:val="none"/>
    </w:rPr>
  </w:style>
  <w:style w:type="paragraph" w:styleId="Heading1">
    <w:name w:val="Heading 1"/>
    <w:basedOn w:val="Normal"/>
    <w:next w:val="Normal"/>
    <w:link w:val="Heading1Char"/>
    <w:uiPriority w:val="9"/>
    <w:qFormat/>
    <w:rsid w:val="00d76440"/>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76440"/>
    <w:rPr>
      <w:rFonts w:ascii="Calibri Light" w:hAnsi="Calibri Light" w:eastAsia="" w:cs="" w:asciiTheme="majorHAnsi" w:cstheme="majorBidi" w:eastAsiaTheme="majorEastAsia" w:hAnsiTheme="majorHAnsi"/>
      <w:color w:themeColor="accent1" w:themeShade="bf" w:val="2F5496"/>
      <w:kern w:val="0"/>
      <w:sz w:val="32"/>
      <w:szCs w:val="32"/>
      <w:lang w:val="en-US"/>
      <w14:ligatures w14:val="none"/>
    </w:rPr>
  </w:style>
  <w:style w:type="character" w:styleId="Hyperlink">
    <w:name w:val="Hyperlink"/>
    <w:basedOn w:val="DefaultParagraphFont"/>
    <w:uiPriority w:val="99"/>
    <w:unhideWhenUsed/>
    <w:rsid w:val="007e781b"/>
    <w:rPr>
      <w:color w:val="0000FF"/>
      <w:u w:val="single"/>
    </w:rPr>
  </w:style>
  <w:style w:type="character" w:styleId="UnresolvedMention">
    <w:name w:val="Unresolved Mention"/>
    <w:basedOn w:val="DefaultParagraphFont"/>
    <w:uiPriority w:val="99"/>
    <w:semiHidden/>
    <w:unhideWhenUsed/>
    <w:qFormat/>
    <w:rsid w:val="007e781b"/>
    <w:rPr>
      <w:color w:val="605E5C"/>
      <w:shd w:fill="E1DFDD" w:val="clear"/>
    </w:rPr>
  </w:style>
  <w:style w:type="character" w:styleId="FollowedHyperlink">
    <w:name w:val="FollowedHyperlink"/>
    <w:basedOn w:val="DefaultParagraphFont"/>
    <w:uiPriority w:val="99"/>
    <w:semiHidden/>
    <w:unhideWhenUsed/>
    <w:rsid w:val="007031f3"/>
    <w:rPr>
      <w:color w:themeColor="followedHyperlink" w:val="954F72"/>
      <w:u w:val="single"/>
    </w:rPr>
  </w:style>
  <w:style w:type="character" w:styleId="HeaderChar" w:customStyle="1">
    <w:name w:val="Header Char"/>
    <w:basedOn w:val="DefaultParagraphFont"/>
    <w:link w:val="Header"/>
    <w:uiPriority w:val="99"/>
    <w:qFormat/>
    <w:rsid w:val="00192f67"/>
    <w:rPr>
      <w:kern w:val="0"/>
      <w14:ligatures w14:val="none"/>
    </w:rPr>
  </w:style>
  <w:style w:type="character" w:styleId="FooterChar" w:customStyle="1">
    <w:name w:val="Footer Char"/>
    <w:basedOn w:val="DefaultParagraphFont"/>
    <w:link w:val="Footer"/>
    <w:uiPriority w:val="99"/>
    <w:qFormat/>
    <w:rsid w:val="00192f67"/>
    <w:rPr>
      <w:kern w:val="0"/>
      <w14:ligatures w14:val="none"/>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WPBullet" w:customStyle="1">
    <w:name w:val="W&amp;P Bullet"/>
    <w:basedOn w:val="Normal"/>
    <w:qFormat/>
    <w:rsid w:val="00d76440"/>
    <w:pPr>
      <w:numPr>
        <w:ilvl w:val="0"/>
        <w:numId w:val="1"/>
      </w:numPr>
      <w:tabs>
        <w:tab w:val="clear" w:pos="720"/>
        <w:tab w:val="left" w:pos="6" w:leader="none"/>
      </w:tabs>
      <w:spacing w:lineRule="atLeast" w:line="23" w:before="120" w:after="120"/>
      <w:contextualSpacing/>
    </w:pPr>
    <w:rPr>
      <w:rFonts w:ascii="Arial" w:hAnsi="Arial" w:eastAsia="HGGothicM" w:cs="Arial"/>
      <w:sz w:val="24"/>
      <w:szCs w:val="24"/>
      <w:lang w:eastAsia="sk-SK"/>
    </w:rPr>
  </w:style>
  <w:style w:type="paragraph" w:styleId="WPHeading" w:customStyle="1">
    <w:name w:val="W&amp;P Heading"/>
    <w:basedOn w:val="Heading1"/>
    <w:qFormat/>
    <w:rsid w:val="00d76440"/>
    <w:pPr>
      <w:widowControl w:val="false"/>
      <w:suppressAutoHyphens w:val="true"/>
      <w:spacing w:lineRule="atLeast" w:line="23" w:before="360" w:after="120"/>
      <w:textAlignment w:val="baseline"/>
    </w:pPr>
    <w:rPr>
      <w:rFonts w:ascii="Arial" w:hAnsi="Arial" w:eastAsia="HGGothicM" w:cs="Arial"/>
      <w:b/>
      <w:bCs/>
      <w:color w:themeColor="accent1" w:themeShade="bf" w:val="6076B4"/>
      <w:sz w:val="24"/>
      <w:szCs w:val="24"/>
      <w:lang w:eastAsia="en-GB" w:bidi="en-US"/>
    </w:rPr>
  </w:style>
  <w:style w:type="paragraph" w:styleId="WPParagraph" w:customStyle="1">
    <w:name w:val="W&amp;P Paragraph"/>
    <w:basedOn w:val="Normal"/>
    <w:qFormat/>
    <w:rsid w:val="00d76440"/>
    <w:pPr>
      <w:spacing w:lineRule="atLeast" w:line="23" w:before="120" w:after="120"/>
    </w:pPr>
    <w:rPr>
      <w:rFonts w:ascii="Arial" w:hAnsi="Arial" w:eastAsia="Times New Roman" w:cs="Arial"/>
      <w:sz w:val="24"/>
      <w:szCs w:val="24"/>
      <w:lang w:eastAsia="sk-SK"/>
    </w:rPr>
  </w:style>
  <w:style w:type="paragraph" w:styleId="ListParagraph">
    <w:name w:val="List Paragraph"/>
    <w:basedOn w:val="Normal"/>
    <w:uiPriority w:val="34"/>
    <w:qFormat/>
    <w:rsid w:val="00db03bb"/>
    <w:pPr>
      <w:spacing w:before="0" w:after="200"/>
      <w:ind w:left="720"/>
      <w:contextualSpacing/>
    </w:pPr>
    <w:rPr/>
  </w:style>
  <w:style w:type="paragraph" w:styleId="NormalWeb">
    <w:name w:val="Normal (Web)"/>
    <w:basedOn w:val="Normal"/>
    <w:uiPriority w:val="99"/>
    <w:semiHidden/>
    <w:unhideWhenUsed/>
    <w:qFormat/>
    <w:rsid w:val="004e2ede"/>
    <w:pPr>
      <w:spacing w:lineRule="auto" w:line="240" w:beforeAutospacing="1" w:afterAutospacing="1"/>
    </w:pPr>
    <w:rPr>
      <w:rFonts w:ascii="Times New Roman" w:hAnsi="Times New Roman" w:eastAsia="Times New Roman" w:cs="Times New Roman"/>
      <w:sz w:val="24"/>
      <w:szCs w:val="24"/>
      <w:lang w:eastAsia="en-GB"/>
    </w:rPr>
  </w:style>
  <w:style w:type="paragraph" w:styleId="WPHeading2" w:customStyle="1">
    <w:name w:val="W&amp;P Heading 2"/>
    <w:basedOn w:val="WPHeading"/>
    <w:qFormat/>
    <w:rsid w:val="00ad5162"/>
    <w:pPr/>
    <w:rPr>
      <w:color w:themeColor="accent1" w:themeShade="bf" w:val="auto"/>
      <w:lang w:val="en-US"/>
    </w:rPr>
  </w:style>
  <w:style w:type="paragraph" w:styleId="HeaderandFooter">
    <w:name w:val="Header and Footer"/>
    <w:basedOn w:val="Normal"/>
    <w:qFormat/>
    <w:pPr/>
    <w:rPr/>
  </w:style>
  <w:style w:type="paragraph" w:styleId="Header">
    <w:name w:val="Header"/>
    <w:basedOn w:val="Normal"/>
    <w:link w:val="HeaderChar"/>
    <w:uiPriority w:val="99"/>
    <w:unhideWhenUsed/>
    <w:rsid w:val="00192f67"/>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92f67"/>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nice.org.uk/about/who-we-are/sustainability" TargetMode="External"/><Relationship Id="rId4" Type="http://schemas.openxmlformats.org/officeDocument/2006/relationships/hyperlink" Target="https://www.gov.uk/government/collections/greening-government-commitments" TargetMode="External"/><Relationship Id="rId5" Type="http://schemas.openxmlformats.org/officeDocument/2006/relationships/hyperlink" Target="https://www.gov.uk/government/collections/public-sector-decarbonisation-scheme" TargetMode="External"/><Relationship Id="rId6" Type="http://schemas.openxmlformats.org/officeDocument/2006/relationships/hyperlink" Target="https://www.who.int/publications/i/item/operational-framework-for-building-climate-resilient-health-systems" TargetMode="External"/><Relationship Id="rId7" Type="http://schemas.openxmlformats.org/officeDocument/2006/relationships/hyperlink" Target="https://www.england.nhs.uk/wp-content/uploads/2021/12/NHS-third-health-and-care-adaptation-report-2021.pdf" TargetMode="External"/><Relationship Id="rId8" Type="http://schemas.openxmlformats.org/officeDocument/2006/relationships/hyperlink" Target="https://www.gov.uk/government/publications/third-national-adaptation-programme-nap3/understanding-climate-adaptation-and-the-third-national-adaptation-programme-nap3" TargetMode="External"/><Relationship Id="rId9" Type="http://schemas.openxmlformats.org/officeDocument/2006/relationships/hyperlink" Target="https://www.gov.uk/government/organisations/department-for-environment-food-rural-affairs" TargetMode="External"/><Relationship Id="rId10" Type="http://schemas.openxmlformats.org/officeDocument/2006/relationships/hyperlink" Target="https://www.nice.org.uk/guidance/QS181" TargetMode="External"/><Relationship Id="rId11" Type="http://schemas.openxmlformats.org/officeDocument/2006/relationships/hyperlink" Target="https://climatejust.org.uk/resources/shape-tool" TargetMode="External"/><Relationship Id="rId12" Type="http://schemas.openxmlformats.org/officeDocument/2006/relationships/hyperlink" Target="https://www.legislation.gov.uk/ukpga/2010/29/contents" TargetMode="External"/><Relationship Id="rId13" Type="http://schemas.openxmlformats.org/officeDocument/2006/relationships/hyperlink" Target="https://www.gov.uk/government/news/energy-efficiency-what-you-need-to-know"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1Doc/1.5.0.$MacOSX_X86_64 LibreOffice_project/2f9b6e7260225c6c2c1401d17cb7be8dc4e3347b</Application>
  <AppVersion>15.0000</AppVersion>
  <Pages>10</Pages>
  <Words>3548</Words>
  <Characters>20535</Characters>
  <CharactersWithSpaces>23832</CharactersWithSpaces>
  <Paragraphs>197</Paragraphs>
  <Company>W&amp;P Training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2023-10-26T13:57:00Z</dcterms:created>
  <dc:creator>Samantha Atwell</dc:creator>
  <dc:description/>
  <dc:language>en-GB</dc:language>
  <cp:lastModifiedBy/>
  <dcterms:modified xsi:type="dcterms:W3CDTF">2026-05-07T18:25:31Z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398d539e-88e8-4476-a636-ced1e295a1f0</vt:lpwstr>
  </property>
</Properties>
</file>